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94" w:rsidRDefault="008C2094" w:rsidP="008C2094">
      <w:pPr>
        <w:outlineLvl w:val="0"/>
      </w:pPr>
      <w:r>
        <w:t xml:space="preserve">                                                                                                                </w:t>
      </w:r>
      <w:r w:rsidR="00D147AB">
        <w:t>8</w:t>
      </w:r>
      <w:r>
        <w:t>.0</w:t>
      </w:r>
      <w:r w:rsidR="00D147AB">
        <w:t>5</w:t>
      </w:r>
      <w:r>
        <w:t xml:space="preserve">.2018r. </w:t>
      </w:r>
    </w:p>
    <w:p w:rsidR="008C2094" w:rsidRDefault="008C2094" w:rsidP="008C2094"/>
    <w:p w:rsidR="008C2094" w:rsidRDefault="008C2094" w:rsidP="008C2094">
      <w:r>
        <w:t xml:space="preserve">Na podstawie art. 38 pkt 2 Prawo zamówień publicznych z 29 stycznia 2004r (Dz.U z 2017  poz. 1579 z </w:t>
      </w:r>
      <w:proofErr w:type="spellStart"/>
      <w:r>
        <w:t>póź</w:t>
      </w:r>
      <w:proofErr w:type="spellEnd"/>
      <w:r>
        <w:t xml:space="preserve"> </w:t>
      </w:r>
      <w:proofErr w:type="spellStart"/>
      <w:r>
        <w:t>zm</w:t>
      </w:r>
      <w:proofErr w:type="spellEnd"/>
      <w:r>
        <w:t xml:space="preserve"> ) Zamawiający odpowiada na następujące pytania:</w:t>
      </w:r>
    </w:p>
    <w:p w:rsidR="008C2094" w:rsidRDefault="008C2094" w:rsidP="008C2094"/>
    <w:p w:rsidR="00334B64" w:rsidRDefault="008170C5">
      <w:r>
        <w:t>Pyt. 1</w:t>
      </w:r>
    </w:p>
    <w:p w:rsidR="008170C5" w:rsidRDefault="008170C5" w:rsidP="008170C5">
      <w:pPr>
        <w:rPr>
          <w:rFonts w:cstheme="minorHAnsi"/>
          <w:sz w:val="22"/>
          <w:szCs w:val="22"/>
        </w:rPr>
      </w:pPr>
      <w:r>
        <w:t xml:space="preserve">Dotyczą </w:t>
      </w:r>
      <w:r>
        <w:rPr>
          <w:rFonts w:cstheme="minorHAnsi"/>
        </w:rPr>
        <w:t>części 22:</w:t>
      </w:r>
    </w:p>
    <w:p w:rsidR="008170C5" w:rsidRDefault="008170C5" w:rsidP="008170C5">
      <w:pPr>
        <w:rPr>
          <w:rFonts w:cstheme="minorBidi"/>
        </w:rPr>
      </w:pPr>
    </w:p>
    <w:p w:rsidR="008170C5" w:rsidRDefault="008170C5" w:rsidP="008170C5">
      <w:pPr>
        <w:pStyle w:val="Akapitzlist"/>
        <w:numPr>
          <w:ilvl w:val="0"/>
          <w:numId w:val="1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Czy Zamawiający dopuści do postepowania paski o następujących parametrach:</w:t>
      </w:r>
    </w:p>
    <w:p w:rsidR="008170C5" w:rsidRDefault="008170C5" w:rsidP="008170C5">
      <w:pPr>
        <w:pStyle w:val="Akapitzlist"/>
        <w:spacing w:after="0"/>
        <w:rPr>
          <w:lang w:val="pl-PL"/>
        </w:rPr>
      </w:pPr>
    </w:p>
    <w:tbl>
      <w:tblPr>
        <w:tblW w:w="0" w:type="auto"/>
        <w:tblInd w:w="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3730"/>
      </w:tblGrid>
      <w:tr w:rsidR="008170C5" w:rsidTr="008170C5">
        <w:trPr>
          <w:trHeight w:val="255"/>
        </w:trPr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70C5" w:rsidTr="008170C5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PASKI TESTOWE</w:t>
            </w:r>
          </w:p>
        </w:tc>
      </w:tr>
      <w:tr w:rsidR="008170C5" w:rsidTr="008170C5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POMIARU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biosensoryczna</w:t>
            </w:r>
            <w:proofErr w:type="spellEnd"/>
          </w:p>
        </w:tc>
      </w:tr>
      <w:tr w:rsidR="008170C5" w:rsidTr="008170C5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ENZYM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dehydrogenaza glukozy</w:t>
            </w:r>
          </w:p>
        </w:tc>
      </w:tr>
      <w:tr w:rsidR="008170C5" w:rsidTr="008170C5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PRÓBKI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 µl</w:t>
            </w:r>
          </w:p>
        </w:tc>
      </w:tr>
      <w:tr w:rsidR="008170C5" w:rsidTr="008170C5">
        <w:trPr>
          <w:trHeight w:val="510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KRWI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włośniczkowa, żylna, tętnicza, noworodkowa</w:t>
            </w:r>
          </w:p>
        </w:tc>
      </w:tr>
      <w:tr w:rsidR="008170C5" w:rsidTr="008170C5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 MIARY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mg/dl</w:t>
            </w:r>
          </w:p>
        </w:tc>
      </w:tr>
      <w:tr w:rsidR="008170C5" w:rsidTr="008170C5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POMIARU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20-500 mg/dl</w:t>
            </w:r>
          </w:p>
        </w:tc>
      </w:tr>
      <w:tr w:rsidR="008170C5" w:rsidTr="008170C5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POMIARU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</w:t>
            </w:r>
            <w:proofErr w:type="spellEnd"/>
          </w:p>
        </w:tc>
      </w:tr>
      <w:tr w:rsidR="008170C5" w:rsidTr="008170C5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HEMATOKTYTU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15-65 %</w:t>
            </w:r>
          </w:p>
        </w:tc>
      </w:tr>
      <w:tr w:rsidR="008170C5" w:rsidTr="008170C5">
        <w:trPr>
          <w:trHeight w:val="76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CZUJNIK MINIMALNEJ OBJĘTOŚCI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nie rozpocznie się przy zbyt małej wielkości próbki</w:t>
            </w:r>
          </w:p>
        </w:tc>
      </w:tr>
      <w:tr w:rsidR="008170C5" w:rsidTr="008170C5">
        <w:trPr>
          <w:trHeight w:val="255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DOKROPLENIA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170C5" w:rsidTr="008170C5">
        <w:trPr>
          <w:trHeight w:val="255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PAKOWANIE PASKÓW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ojedy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czo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 po 100 pasków w opakowaniu zbiorczym.</w:t>
            </w:r>
          </w:p>
        </w:tc>
      </w:tr>
      <w:tr w:rsidR="008170C5" w:rsidTr="008170C5">
        <w:trPr>
          <w:trHeight w:val="255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PRZECHOWYWANIA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4-30 stopni</w:t>
            </w:r>
          </w:p>
        </w:tc>
      </w:tr>
      <w:tr w:rsidR="008170C5" w:rsidTr="008170C5">
        <w:trPr>
          <w:trHeight w:val="255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WYKONYWANIA POMIARU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15-40 STOPNI</w:t>
            </w:r>
          </w:p>
        </w:tc>
      </w:tr>
      <w:tr w:rsidR="008170C5" w:rsidTr="008170C5">
        <w:trPr>
          <w:trHeight w:val="244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WSKAZANIA DO STOSOWANIA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Wyłącznie w lecznictwie zamkniętym</w:t>
            </w:r>
          </w:p>
        </w:tc>
      </w:tr>
      <w:tr w:rsidR="008170C5" w:rsidTr="008170C5">
        <w:trPr>
          <w:trHeight w:val="244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ISO 15197-2013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Wskazana norma nie dotyczy pasków  do stosowania szpitalnego </w:t>
            </w:r>
          </w:p>
        </w:tc>
      </w:tr>
    </w:tbl>
    <w:p w:rsidR="008170C5" w:rsidRDefault="008170C5" w:rsidP="008170C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170C5" w:rsidRDefault="008170C5" w:rsidP="008170C5"/>
    <w:p w:rsidR="008170C5" w:rsidRDefault="008170C5" w:rsidP="008170C5"/>
    <w:p w:rsidR="008170C5" w:rsidRDefault="008170C5" w:rsidP="008170C5">
      <w:r>
        <w:t xml:space="preserve">współpracujące z </w:t>
      </w:r>
      <w:proofErr w:type="spellStart"/>
      <w:r>
        <w:t>glukometrem</w:t>
      </w:r>
      <w:proofErr w:type="spellEnd"/>
      <w:r>
        <w:t xml:space="preserve"> o wskazanych parametrach?</w:t>
      </w:r>
    </w:p>
    <w:p w:rsidR="008170C5" w:rsidRDefault="008170C5" w:rsidP="008170C5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380"/>
      </w:tblGrid>
      <w:tr w:rsidR="008170C5" w:rsidTr="008170C5">
        <w:trPr>
          <w:trHeight w:val="255"/>
          <w:jc w:val="center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70C5" w:rsidTr="008170C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GLUKOMETR</w:t>
            </w:r>
          </w:p>
        </w:tc>
      </w:tr>
      <w:tr w:rsidR="008170C5" w:rsidTr="008170C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TESTOWA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amperometria</w:t>
            </w:r>
          </w:p>
        </w:tc>
      </w:tr>
      <w:tr w:rsidR="008170C5" w:rsidTr="008170C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KALIBRACJA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osocze</w:t>
            </w:r>
          </w:p>
        </w:tc>
      </w:tr>
      <w:tr w:rsidR="008170C5" w:rsidTr="008170C5">
        <w:trPr>
          <w:trHeight w:val="510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TECHNIKA KALIBRACJI </w:t>
            </w:r>
            <w:r>
              <w:rPr>
                <w:rFonts w:ascii="Arial" w:hAnsi="Arial" w:cs="Arial"/>
                <w:sz w:val="20"/>
                <w:szCs w:val="20"/>
              </w:rPr>
              <w:br/>
              <w:t>w celu zwiększenia dokładności pomiaru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mechaniczna (pasek kalibrujący)</w:t>
            </w:r>
          </w:p>
        </w:tc>
      </w:tr>
      <w:tr w:rsidR="008170C5" w:rsidTr="008170C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CYFRY 1,9 CM</w:t>
            </w:r>
          </w:p>
        </w:tc>
      </w:tr>
      <w:tr w:rsidR="008170C5" w:rsidTr="008170C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wyników</w:t>
            </w:r>
          </w:p>
        </w:tc>
      </w:tr>
      <w:tr w:rsidR="008170C5" w:rsidTr="008170C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baterie CR 2032</w:t>
            </w:r>
          </w:p>
        </w:tc>
      </w:tr>
      <w:tr w:rsidR="008170C5" w:rsidTr="008170C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POMIARÓW PRZY 1 BATERII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8170C5" w:rsidTr="008170C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WYŁACZENIE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 xml:space="preserve"> 120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</w:t>
            </w:r>
            <w:proofErr w:type="spellEnd"/>
          </w:p>
        </w:tc>
      </w:tr>
      <w:tr w:rsidR="008170C5" w:rsidTr="008170C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33-37 gramów</w:t>
            </w:r>
          </w:p>
        </w:tc>
      </w:tr>
      <w:tr w:rsidR="008170C5" w:rsidTr="008170C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PRZECHOWYWANIA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-20 DO 60 STOPNI</w:t>
            </w:r>
          </w:p>
        </w:tc>
      </w:tr>
      <w:tr w:rsidR="008170C5" w:rsidTr="008170C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TEMPERATURA WYKONYWANIA POMIARU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10-50 STOPNI</w:t>
            </w:r>
          </w:p>
        </w:tc>
      </w:tr>
      <w:tr w:rsidR="008170C5" w:rsidTr="008170C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KOMUNIKATY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LO, HI, KETONES</w:t>
            </w:r>
          </w:p>
        </w:tc>
      </w:tr>
      <w:tr w:rsidR="008170C5" w:rsidTr="008170C5">
        <w:trPr>
          <w:trHeight w:val="255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WSKAZANIA DO STOSOWANIA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Wyłącznie w lecznictwie zamkniętym</w:t>
            </w:r>
          </w:p>
        </w:tc>
      </w:tr>
      <w:tr w:rsidR="008170C5" w:rsidTr="008170C5">
        <w:trPr>
          <w:trHeight w:val="255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>
              <w:t>ISO 15197-2013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C5" w:rsidRDefault="008170C5">
            <w:r>
              <w:t>Wskazana norma nie dotyczy pasków  do stosowania szpitalnego</w:t>
            </w:r>
          </w:p>
        </w:tc>
      </w:tr>
      <w:tr w:rsidR="008170C5" w:rsidTr="008170C5">
        <w:trPr>
          <w:trHeight w:val="255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0C5" w:rsidRDefault="008170C5">
            <w:pPr>
              <w:rPr>
                <w:lang w:val="en-US"/>
              </w:rPr>
            </w:pPr>
            <w:r>
              <w:t>Brak automatycznego wyrzutu paska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C5" w:rsidRDefault="008170C5">
            <w:r>
              <w:t xml:space="preserve">Paski pakowane pojedynczo umożliwiają usuwanie bezdotykowe pasków z </w:t>
            </w:r>
            <w:proofErr w:type="spellStart"/>
            <w:r>
              <w:t>glukometru</w:t>
            </w:r>
            <w:proofErr w:type="spellEnd"/>
          </w:p>
        </w:tc>
      </w:tr>
    </w:tbl>
    <w:p w:rsidR="008170C5" w:rsidRDefault="008170C5" w:rsidP="008170C5">
      <w:pPr>
        <w:pStyle w:val="Bezodstpw"/>
        <w:spacing w:line="276" w:lineRule="auto"/>
        <w:jc w:val="both"/>
        <w:rPr>
          <w:rFonts w:cstheme="minorHAnsi"/>
        </w:rPr>
      </w:pPr>
    </w:p>
    <w:p w:rsidR="008170C5" w:rsidRDefault="008170C5">
      <w:r>
        <w:t xml:space="preserve">Odp. </w:t>
      </w:r>
      <w:r w:rsidR="009F049F">
        <w:t xml:space="preserve">Dopuszcza się z zachowaniem warunków przekazania w formie darowizny </w:t>
      </w:r>
      <w:proofErr w:type="spellStart"/>
      <w:r w:rsidR="009F049F">
        <w:t>odpowiednioego</w:t>
      </w:r>
      <w:proofErr w:type="spellEnd"/>
      <w:r w:rsidR="009F049F">
        <w:t xml:space="preserve"> typu </w:t>
      </w:r>
      <w:proofErr w:type="spellStart"/>
      <w:r w:rsidR="009F049F">
        <w:t>glukometrów</w:t>
      </w:r>
      <w:proofErr w:type="spellEnd"/>
      <w:r w:rsidR="009F049F">
        <w:t xml:space="preserve"> (min.70 </w:t>
      </w:r>
      <w:proofErr w:type="spellStart"/>
      <w:r w:rsidR="009F049F">
        <w:t>szt</w:t>
      </w:r>
      <w:proofErr w:type="spellEnd"/>
      <w:r w:rsidR="009F049F">
        <w:t>) oraz prezentacji obsługi aparatu. Ważność produktu po otwarciu do końca terminu ważności podanego na opakowaniu.</w:t>
      </w:r>
    </w:p>
    <w:p w:rsidR="008170C5" w:rsidRDefault="008170C5">
      <w:r>
        <w:t>Pyt. 2</w:t>
      </w:r>
    </w:p>
    <w:p w:rsidR="008170C5" w:rsidRDefault="008170C5" w:rsidP="008170C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iCs/>
          <w:sz w:val="22"/>
          <w:szCs w:val="22"/>
        </w:rPr>
        <w:t xml:space="preserve">dotyczy </w:t>
      </w:r>
      <w:r>
        <w:rPr>
          <w:rFonts w:asciiTheme="majorHAnsi" w:hAnsiTheme="majorHAnsi" w:cs="Arial"/>
          <w:b/>
          <w:bCs/>
          <w:sz w:val="22"/>
          <w:szCs w:val="22"/>
        </w:rPr>
        <w:t>Pakietu nr 35, poz. 1</w:t>
      </w:r>
    </w:p>
    <w:p w:rsidR="008170C5" w:rsidRDefault="008170C5" w:rsidP="008170C5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iCs/>
          <w:sz w:val="22"/>
          <w:szCs w:val="22"/>
        </w:rPr>
      </w:pPr>
    </w:p>
    <w:p w:rsidR="008170C5" w:rsidRDefault="008170C5" w:rsidP="008170C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  <w:iCs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Czy Zamawiający wyrazi zgodę na zaoferowanie </w:t>
      </w:r>
      <w:r>
        <w:rPr>
          <w:rFonts w:asciiTheme="majorHAnsi" w:hAnsiTheme="majorHAnsi"/>
          <w:b/>
          <w:bCs/>
          <w:iCs/>
          <w:sz w:val="22"/>
          <w:szCs w:val="22"/>
          <w:u w:val="single"/>
        </w:rPr>
        <w:t>produktu równoważnego</w:t>
      </w:r>
      <w:r>
        <w:rPr>
          <w:rFonts w:asciiTheme="majorHAnsi" w:hAnsiTheme="majorHAnsi"/>
          <w:bCs/>
          <w:iCs/>
          <w:sz w:val="22"/>
          <w:szCs w:val="22"/>
        </w:rPr>
        <w:t xml:space="preserve">  &lt;LIDOCAINE H/CHL. + CHLORHEXIDINUM GLUCONICUM </w:t>
      </w:r>
      <w:proofErr w:type="spellStart"/>
      <w:r>
        <w:rPr>
          <w:rFonts w:asciiTheme="majorHAnsi" w:hAnsiTheme="majorHAnsi"/>
          <w:bCs/>
          <w:iCs/>
          <w:sz w:val="22"/>
          <w:szCs w:val="22"/>
        </w:rPr>
        <w:t>soln</w:t>
      </w:r>
      <w:proofErr w:type="spellEnd"/>
      <w:r>
        <w:rPr>
          <w:rFonts w:asciiTheme="majorHAnsi" w:hAnsiTheme="majorHAnsi"/>
          <w:bCs/>
          <w:iCs/>
          <w:sz w:val="22"/>
          <w:szCs w:val="22"/>
        </w:rPr>
        <w:t xml:space="preserve">. 20% + HYDROXYBENZOESAN METYLU+HYDROXYBENZOESAN PROPYLU 2g + 0,25g + 0,06g+ 0,025g / 100g&gt; w wygodnych ampułkostrzykawkach z podziałką </w:t>
      </w:r>
      <w:r>
        <w:rPr>
          <w:rFonts w:asciiTheme="majorHAnsi" w:hAnsiTheme="majorHAnsi"/>
          <w:b/>
          <w:bCs/>
          <w:iCs/>
          <w:sz w:val="22"/>
          <w:szCs w:val="22"/>
          <w:u w:val="single"/>
        </w:rPr>
        <w:t>o pojemności 11ml (13g)?</w:t>
      </w:r>
    </w:p>
    <w:p w:rsidR="008170C5" w:rsidRDefault="008170C5" w:rsidP="008170C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iCs/>
          <w:lang w:val="sv-SE" w:eastAsia="sv-SE"/>
        </w:rPr>
      </w:pPr>
      <w:r>
        <w:rPr>
          <w:rFonts w:asciiTheme="majorHAnsi" w:hAnsiTheme="majorHAnsi"/>
          <w:bCs/>
          <w:iCs/>
          <w:lang w:val="sv-SE" w:eastAsia="sv-SE"/>
        </w:rPr>
        <w:t>Odp.</w:t>
      </w:r>
      <w:r w:rsidR="009F049F">
        <w:rPr>
          <w:rFonts w:asciiTheme="majorHAnsi" w:hAnsiTheme="majorHAnsi"/>
          <w:bCs/>
          <w:iCs/>
          <w:lang w:val="sv-SE" w:eastAsia="sv-SE"/>
        </w:rPr>
        <w:t xml:space="preserve">Dopuszcza się </w:t>
      </w:r>
    </w:p>
    <w:p w:rsidR="008170C5" w:rsidRDefault="008170C5" w:rsidP="008170C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iCs/>
          <w:lang w:val="sv-SE" w:eastAsia="sv-SE"/>
        </w:rPr>
      </w:pPr>
      <w:r>
        <w:rPr>
          <w:rFonts w:asciiTheme="majorHAnsi" w:hAnsiTheme="majorHAnsi"/>
          <w:bCs/>
          <w:iCs/>
          <w:lang w:val="sv-SE" w:eastAsia="sv-SE"/>
        </w:rPr>
        <w:t>Pyt. 3</w:t>
      </w:r>
    </w:p>
    <w:p w:rsidR="008170C5" w:rsidRDefault="008170C5" w:rsidP="008170C5">
      <w:pPr>
        <w:autoSpaceDE w:val="0"/>
        <w:autoSpaceDN w:val="0"/>
        <w:adjustRightInd w:val="0"/>
        <w:spacing w:line="360" w:lineRule="auto"/>
        <w:jc w:val="both"/>
      </w:pPr>
      <w:r>
        <w:t xml:space="preserve">Czy Zamawiający w pakiecie nr 22 dopuści </w:t>
      </w:r>
      <w:proofErr w:type="spellStart"/>
      <w:r>
        <w:t>glukometry</w:t>
      </w:r>
      <w:proofErr w:type="spellEnd"/>
      <w:r>
        <w:t xml:space="preserve"> z szerokim zakresem pomiaru 20-600mg/dl? Zakres ten jest wystarczający do określenie hipoglikemii (poniżej 55mg/dl) i hiperglikemii. Według Zaleceń PTD 2015: „Polskie Towarzystwo Diabetologiczne zaleca, aby stężenie glukozy u osób chorych na cukrzycę typu 1 na czczo i przed posiłkami mieściło się w granicach 70-110 mg/dl, a dwie godziny po posiłku w samokontroli poniżej 140 mg/dl.”</w:t>
      </w:r>
    </w:p>
    <w:p w:rsidR="008170C5" w:rsidRDefault="008170C5" w:rsidP="008170C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iCs/>
          <w:lang w:val="sv-SE" w:eastAsia="sv-SE"/>
        </w:rPr>
      </w:pPr>
      <w:r>
        <w:rPr>
          <w:rFonts w:asciiTheme="majorHAnsi" w:hAnsiTheme="majorHAnsi"/>
          <w:bCs/>
          <w:iCs/>
          <w:lang w:val="sv-SE" w:eastAsia="sv-SE"/>
        </w:rPr>
        <w:t>Odp.</w:t>
      </w:r>
      <w:r w:rsidR="009F049F">
        <w:rPr>
          <w:rFonts w:asciiTheme="majorHAnsi" w:hAnsiTheme="majorHAnsi"/>
          <w:bCs/>
          <w:iCs/>
          <w:lang w:val="sv-SE" w:eastAsia="sv-SE"/>
        </w:rPr>
        <w:t>Dopuszcza się z zachowaniem warunków przekazania w formie darowizny odpowiedniego typu glukometrów (min.70 szt)</w:t>
      </w:r>
      <w:r w:rsidR="005C0A05">
        <w:rPr>
          <w:rFonts w:asciiTheme="majorHAnsi" w:hAnsiTheme="majorHAnsi"/>
          <w:bCs/>
          <w:iCs/>
          <w:lang w:val="sv-SE" w:eastAsia="sv-SE"/>
        </w:rPr>
        <w:t xml:space="preserve"> oraz prezentacji obsługi aparatu.</w:t>
      </w:r>
    </w:p>
    <w:p w:rsidR="008170C5" w:rsidRPr="008170C5" w:rsidRDefault="008170C5" w:rsidP="008170C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iCs/>
          <w:lang w:val="sv-SE" w:eastAsia="sv-SE"/>
        </w:rPr>
      </w:pPr>
      <w:r>
        <w:rPr>
          <w:rFonts w:asciiTheme="majorHAnsi" w:hAnsiTheme="majorHAnsi"/>
          <w:bCs/>
          <w:iCs/>
          <w:lang w:val="sv-SE" w:eastAsia="sv-SE"/>
        </w:rPr>
        <w:t>Pyt. 4</w:t>
      </w:r>
    </w:p>
    <w:p w:rsidR="008170C5" w:rsidRDefault="008170C5" w:rsidP="008170C5">
      <w:pPr>
        <w:autoSpaceDE w:val="0"/>
        <w:autoSpaceDN w:val="0"/>
        <w:adjustRightInd w:val="0"/>
        <w:spacing w:line="360" w:lineRule="auto"/>
        <w:jc w:val="both"/>
      </w:pPr>
      <w:r>
        <w:t>Czy Zamawiający w pakiecie nr 22 dopuści do udziału w postępowaniu paski, których stabilność po otwarciu wynosi 3 miesiące?</w:t>
      </w:r>
    </w:p>
    <w:p w:rsidR="008170C5" w:rsidRDefault="008170C5" w:rsidP="008170C5">
      <w:pPr>
        <w:autoSpaceDE w:val="0"/>
        <w:autoSpaceDN w:val="0"/>
        <w:adjustRightInd w:val="0"/>
        <w:spacing w:line="360" w:lineRule="auto"/>
        <w:jc w:val="both"/>
      </w:pPr>
      <w:r>
        <w:t xml:space="preserve">Odp. </w:t>
      </w:r>
      <w:r w:rsidR="005C0A05">
        <w:t>Ważność produktu po otwarciu do końca terminu ważności podanego na opakowaniu</w:t>
      </w:r>
    </w:p>
    <w:p w:rsidR="008170C5" w:rsidRPr="008170C5" w:rsidRDefault="008170C5" w:rsidP="008170C5">
      <w:pPr>
        <w:autoSpaceDE w:val="0"/>
        <w:autoSpaceDN w:val="0"/>
        <w:adjustRightInd w:val="0"/>
        <w:spacing w:line="360" w:lineRule="auto"/>
        <w:jc w:val="both"/>
      </w:pPr>
      <w:r>
        <w:t>Pyt. 5</w:t>
      </w:r>
    </w:p>
    <w:p w:rsidR="008170C5" w:rsidRDefault="008170C5" w:rsidP="008170C5">
      <w:pPr>
        <w:pStyle w:val="s14"/>
        <w:spacing w:before="0" w:beforeAutospacing="0" w:after="180" w:afterAutospacing="0"/>
        <w:jc w:val="both"/>
        <w:rPr>
          <w:rStyle w:val="s13"/>
          <w:rFonts w:ascii="Garamond" w:hAnsi="Garamond"/>
          <w:b/>
          <w:sz w:val="22"/>
          <w:szCs w:val="22"/>
        </w:rPr>
      </w:pPr>
      <w:r>
        <w:rPr>
          <w:rStyle w:val="s13"/>
          <w:rFonts w:ascii="Garamond" w:hAnsi="Garamond"/>
          <w:sz w:val="22"/>
          <w:szCs w:val="22"/>
        </w:rPr>
        <w:t xml:space="preserve">Czy w </w:t>
      </w:r>
      <w:r>
        <w:rPr>
          <w:rFonts w:ascii="Garamond" w:hAnsi="Garamond" w:cs="Arial"/>
          <w:sz w:val="22"/>
          <w:szCs w:val="22"/>
        </w:rPr>
        <w:t xml:space="preserve">pakiecie </w:t>
      </w:r>
      <w:bookmarkStart w:id="0" w:name="_Hlk494961514"/>
      <w:r>
        <w:rPr>
          <w:rFonts w:ascii="Garamond" w:hAnsi="Garamond" w:cs="Arial"/>
          <w:sz w:val="22"/>
          <w:szCs w:val="22"/>
        </w:rPr>
        <w:t>Nr 18 poz. 47 i 50 (</w:t>
      </w:r>
      <w:proofErr w:type="spellStart"/>
      <w:r>
        <w:rPr>
          <w:rFonts w:ascii="Garamond" w:hAnsi="Garamond" w:cs="Arial"/>
          <w:sz w:val="22"/>
          <w:szCs w:val="22"/>
        </w:rPr>
        <w:t>Budesonide</w:t>
      </w:r>
      <w:proofErr w:type="spellEnd"/>
      <w:r>
        <w:rPr>
          <w:rFonts w:ascii="Garamond" w:hAnsi="Garamond" w:cs="Arial"/>
          <w:sz w:val="22"/>
          <w:szCs w:val="22"/>
        </w:rPr>
        <w:t xml:space="preserve"> 125 i 250 mikrograma/ml op. x 20 </w:t>
      </w:r>
      <w:proofErr w:type="spellStart"/>
      <w:r>
        <w:rPr>
          <w:rFonts w:ascii="Garamond" w:hAnsi="Garamond" w:cs="Arial"/>
          <w:sz w:val="22"/>
          <w:szCs w:val="22"/>
        </w:rPr>
        <w:t>amp</w:t>
      </w:r>
      <w:proofErr w:type="spellEnd"/>
      <w:r>
        <w:rPr>
          <w:rFonts w:ascii="Garamond" w:hAnsi="Garamond" w:cs="Arial"/>
          <w:sz w:val="22"/>
          <w:szCs w:val="22"/>
        </w:rPr>
        <w:t xml:space="preserve">. a 2 ml) </w:t>
      </w:r>
      <w:bookmarkEnd w:id="0"/>
      <w:r>
        <w:rPr>
          <w:rStyle w:val="s13"/>
          <w:rFonts w:ascii="Garamond" w:hAnsi="Garamond"/>
          <w:b/>
          <w:sz w:val="22"/>
          <w:szCs w:val="22"/>
        </w:rPr>
        <w:t>Zamawiający wymaga produktu,  po którego zastosowaniu poprawa stanu klinicznego może nastąpić już w ciągu kilku godzin od rozpoczęcia leczenia?</w:t>
      </w:r>
    </w:p>
    <w:p w:rsidR="008170C5" w:rsidRDefault="008170C5" w:rsidP="008170C5">
      <w:pPr>
        <w:pStyle w:val="s14"/>
        <w:spacing w:before="0" w:beforeAutospacing="0" w:after="180" w:afterAutospacing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Odp</w:t>
      </w:r>
      <w:r w:rsidR="005C0A05">
        <w:rPr>
          <w:rFonts w:ascii="Garamond" w:hAnsi="Garamond"/>
          <w:b/>
          <w:sz w:val="22"/>
          <w:szCs w:val="22"/>
        </w:rPr>
        <w:t>. Wyraża zgodę</w:t>
      </w:r>
    </w:p>
    <w:p w:rsidR="008170C5" w:rsidRDefault="008170C5" w:rsidP="008170C5">
      <w:pPr>
        <w:pStyle w:val="s14"/>
        <w:spacing w:before="0" w:beforeAutospacing="0" w:after="180" w:afterAutospacing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Pyt. 6</w:t>
      </w:r>
    </w:p>
    <w:p w:rsidR="008170C5" w:rsidRDefault="008170C5" w:rsidP="008170C5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Czy Zamawiający</w:t>
      </w:r>
      <w:r>
        <w:rPr>
          <w:rFonts w:ascii="Garamond" w:hAnsi="Garamond"/>
          <w:sz w:val="22"/>
          <w:szCs w:val="22"/>
        </w:rPr>
        <w:t xml:space="preserve"> w </w:t>
      </w:r>
      <w:r>
        <w:rPr>
          <w:rFonts w:ascii="Garamond" w:hAnsi="Garamond" w:cs="Arial"/>
          <w:sz w:val="22"/>
          <w:szCs w:val="22"/>
        </w:rPr>
        <w:t>pakiecie Nr 18 poz. 47 i 50 (</w:t>
      </w:r>
      <w:proofErr w:type="spellStart"/>
      <w:r>
        <w:rPr>
          <w:rFonts w:ascii="Garamond" w:hAnsi="Garamond" w:cs="Arial"/>
          <w:sz w:val="22"/>
          <w:szCs w:val="22"/>
        </w:rPr>
        <w:t>Budesonide</w:t>
      </w:r>
      <w:proofErr w:type="spellEnd"/>
      <w:r>
        <w:rPr>
          <w:rFonts w:ascii="Garamond" w:hAnsi="Garamond" w:cs="Arial"/>
          <w:sz w:val="22"/>
          <w:szCs w:val="22"/>
        </w:rPr>
        <w:t xml:space="preserve"> 125 i 250 mikrograma/ml op. x 20 </w:t>
      </w:r>
      <w:proofErr w:type="spellStart"/>
      <w:r>
        <w:rPr>
          <w:rFonts w:ascii="Garamond" w:hAnsi="Garamond" w:cs="Arial"/>
          <w:sz w:val="22"/>
          <w:szCs w:val="22"/>
        </w:rPr>
        <w:t>amp</w:t>
      </w:r>
      <w:proofErr w:type="spellEnd"/>
      <w:r>
        <w:rPr>
          <w:rFonts w:ascii="Garamond" w:hAnsi="Garamond" w:cs="Arial"/>
          <w:sz w:val="22"/>
          <w:szCs w:val="22"/>
        </w:rPr>
        <w:t xml:space="preserve">. a 2 ml) </w:t>
      </w:r>
      <w:r>
        <w:rPr>
          <w:rFonts w:ascii="Garamond" w:hAnsi="Garamond"/>
          <w:b/>
          <w:sz w:val="22"/>
          <w:szCs w:val="22"/>
        </w:rPr>
        <w:t xml:space="preserve">wyraża zgodę na wycenę leku, którego zawartości po otwarciu pojemnika nie można, </w:t>
      </w:r>
      <w:bookmarkStart w:id="1" w:name="_Hlk506290627"/>
      <w:r>
        <w:rPr>
          <w:rFonts w:ascii="Garamond" w:hAnsi="Garamond"/>
          <w:b/>
          <w:sz w:val="22"/>
          <w:szCs w:val="22"/>
        </w:rPr>
        <w:t xml:space="preserve">zgodnie z obowiązującą Charakterystyką Produktu Leczniczego, </w:t>
      </w:r>
      <w:bookmarkEnd w:id="1"/>
      <w:r>
        <w:rPr>
          <w:rFonts w:ascii="Garamond" w:hAnsi="Garamond"/>
          <w:b/>
          <w:sz w:val="22"/>
          <w:szCs w:val="22"/>
        </w:rPr>
        <w:t>przechowywać do 12 godzin?</w:t>
      </w:r>
    </w:p>
    <w:p w:rsidR="008170C5" w:rsidRDefault="008170C5" w:rsidP="008170C5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Odp</w:t>
      </w:r>
      <w:r w:rsidR="005C0A05">
        <w:rPr>
          <w:rFonts w:ascii="Garamond" w:hAnsi="Garamond"/>
          <w:b/>
          <w:sz w:val="22"/>
          <w:szCs w:val="22"/>
        </w:rPr>
        <w:t>. Dopuszcza</w:t>
      </w:r>
    </w:p>
    <w:p w:rsidR="008170C5" w:rsidRDefault="008170C5" w:rsidP="008170C5">
      <w:pPr>
        <w:jc w:val="both"/>
        <w:rPr>
          <w:rFonts w:ascii="Garamond" w:hAnsi="Garamond" w:cs="TimesNewRomanPSMT"/>
          <w:b/>
          <w:sz w:val="22"/>
          <w:szCs w:val="22"/>
        </w:rPr>
      </w:pPr>
    </w:p>
    <w:p w:rsidR="008170C5" w:rsidRDefault="008170C5" w:rsidP="008170C5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Pyt. 7</w:t>
      </w:r>
    </w:p>
    <w:p w:rsidR="008170C5" w:rsidRDefault="008170C5" w:rsidP="008170C5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Czy Zamawiający</w:t>
      </w:r>
      <w:r>
        <w:rPr>
          <w:rFonts w:ascii="Garamond" w:hAnsi="Garamond"/>
          <w:sz w:val="22"/>
          <w:szCs w:val="22"/>
        </w:rPr>
        <w:t xml:space="preserve"> w pakiecie</w:t>
      </w:r>
      <w:r>
        <w:rPr>
          <w:rFonts w:ascii="Garamond" w:hAnsi="Garamond" w:cs="Arial"/>
          <w:sz w:val="22"/>
          <w:szCs w:val="22"/>
        </w:rPr>
        <w:t xml:space="preserve"> Nr 18 poz. 47 i 50 (</w:t>
      </w:r>
      <w:proofErr w:type="spellStart"/>
      <w:r>
        <w:rPr>
          <w:rFonts w:ascii="Garamond" w:hAnsi="Garamond" w:cs="Arial"/>
          <w:sz w:val="22"/>
          <w:szCs w:val="22"/>
        </w:rPr>
        <w:t>Budesonide</w:t>
      </w:r>
      <w:proofErr w:type="spellEnd"/>
      <w:r>
        <w:rPr>
          <w:rFonts w:ascii="Garamond" w:hAnsi="Garamond" w:cs="Arial"/>
          <w:sz w:val="22"/>
          <w:szCs w:val="22"/>
        </w:rPr>
        <w:t xml:space="preserve"> 125 i 250 mikrograma/ml op. x 20 </w:t>
      </w:r>
      <w:proofErr w:type="spellStart"/>
      <w:r>
        <w:rPr>
          <w:rFonts w:ascii="Garamond" w:hAnsi="Garamond" w:cs="Arial"/>
          <w:sz w:val="22"/>
          <w:szCs w:val="22"/>
        </w:rPr>
        <w:t>amp</w:t>
      </w:r>
      <w:proofErr w:type="spellEnd"/>
      <w:r>
        <w:rPr>
          <w:rFonts w:ascii="Garamond" w:hAnsi="Garamond" w:cs="Arial"/>
          <w:sz w:val="22"/>
          <w:szCs w:val="22"/>
        </w:rPr>
        <w:t xml:space="preserve">. a 2 ml) </w:t>
      </w:r>
      <w:r>
        <w:rPr>
          <w:rFonts w:ascii="Garamond" w:hAnsi="Garamond"/>
          <w:b/>
          <w:sz w:val="22"/>
          <w:szCs w:val="22"/>
        </w:rPr>
        <w:t xml:space="preserve">dopuszcza wycenę leku, którego nie można mieszać z </w:t>
      </w:r>
      <w:proofErr w:type="spellStart"/>
      <w:r>
        <w:rPr>
          <w:rFonts w:ascii="Garamond" w:hAnsi="Garamond"/>
          <w:b/>
          <w:sz w:val="22"/>
          <w:szCs w:val="22"/>
        </w:rPr>
        <w:t>Berodualem</w:t>
      </w:r>
      <w:proofErr w:type="spellEnd"/>
      <w:r>
        <w:rPr>
          <w:rFonts w:ascii="Garamond" w:hAnsi="Garamond"/>
          <w:b/>
          <w:sz w:val="22"/>
          <w:szCs w:val="22"/>
        </w:rPr>
        <w:t xml:space="preserve"> ani z </w:t>
      </w:r>
      <w:proofErr w:type="spellStart"/>
      <w:r>
        <w:rPr>
          <w:rFonts w:ascii="Garamond" w:hAnsi="Garamond"/>
          <w:b/>
          <w:sz w:val="22"/>
          <w:szCs w:val="22"/>
        </w:rPr>
        <w:t>acetylocysteiną</w:t>
      </w:r>
      <w:proofErr w:type="spellEnd"/>
      <w:r>
        <w:rPr>
          <w:rFonts w:ascii="Garamond" w:hAnsi="Garamond"/>
          <w:b/>
          <w:sz w:val="22"/>
          <w:szCs w:val="22"/>
        </w:rPr>
        <w:t xml:space="preserve">? </w:t>
      </w:r>
    </w:p>
    <w:p w:rsidR="008170C5" w:rsidRDefault="008170C5" w:rsidP="008170C5">
      <w:pPr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Odp</w:t>
      </w:r>
      <w:r w:rsidR="005C0A05">
        <w:rPr>
          <w:rFonts w:ascii="Garamond" w:hAnsi="Garamond"/>
          <w:sz w:val="22"/>
          <w:szCs w:val="22"/>
        </w:rPr>
        <w:t>.Dopuszcza</w:t>
      </w:r>
      <w:proofErr w:type="spellEnd"/>
    </w:p>
    <w:p w:rsidR="008170C5" w:rsidRPr="008170C5" w:rsidRDefault="008170C5" w:rsidP="008170C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Pyt. 8</w:t>
      </w:r>
    </w:p>
    <w:p w:rsidR="008170C5" w:rsidRDefault="008170C5" w:rsidP="008170C5">
      <w:pPr>
        <w:pStyle w:val="s14"/>
        <w:spacing w:before="0" w:beforeAutospacing="0" w:after="180" w:afterAutospacing="0"/>
        <w:jc w:val="both"/>
        <w:rPr>
          <w:rStyle w:val="s13"/>
          <w:rFonts w:ascii="Garamond" w:hAnsi="Garamond"/>
          <w:b/>
          <w:sz w:val="22"/>
          <w:szCs w:val="22"/>
        </w:rPr>
      </w:pPr>
      <w:r>
        <w:rPr>
          <w:rStyle w:val="s13"/>
          <w:rFonts w:ascii="Garamond" w:hAnsi="Garamond"/>
          <w:sz w:val="22"/>
          <w:szCs w:val="22"/>
        </w:rPr>
        <w:t xml:space="preserve">Czy w </w:t>
      </w:r>
      <w:r>
        <w:rPr>
          <w:rFonts w:ascii="Garamond" w:hAnsi="Garamond" w:cs="Arial"/>
          <w:sz w:val="22"/>
          <w:szCs w:val="22"/>
        </w:rPr>
        <w:t>pakiecie Nr 18 poz. 47 i 50 (</w:t>
      </w:r>
      <w:proofErr w:type="spellStart"/>
      <w:r>
        <w:rPr>
          <w:rFonts w:ascii="Garamond" w:hAnsi="Garamond" w:cs="Arial"/>
          <w:sz w:val="22"/>
          <w:szCs w:val="22"/>
        </w:rPr>
        <w:t>Budesonide</w:t>
      </w:r>
      <w:proofErr w:type="spellEnd"/>
      <w:r>
        <w:rPr>
          <w:rFonts w:ascii="Garamond" w:hAnsi="Garamond" w:cs="Arial"/>
          <w:sz w:val="22"/>
          <w:szCs w:val="22"/>
        </w:rPr>
        <w:t xml:space="preserve"> 125 i 250 mikrograma/ml op. x 20 </w:t>
      </w:r>
      <w:proofErr w:type="spellStart"/>
      <w:r>
        <w:rPr>
          <w:rFonts w:ascii="Garamond" w:hAnsi="Garamond" w:cs="Arial"/>
          <w:sz w:val="22"/>
          <w:szCs w:val="22"/>
        </w:rPr>
        <w:t>amp</w:t>
      </w:r>
      <w:proofErr w:type="spellEnd"/>
      <w:r>
        <w:rPr>
          <w:rFonts w:ascii="Garamond" w:hAnsi="Garamond" w:cs="Arial"/>
          <w:sz w:val="22"/>
          <w:szCs w:val="22"/>
        </w:rPr>
        <w:t xml:space="preserve">. a 2 ml) </w:t>
      </w:r>
      <w:r>
        <w:rPr>
          <w:rStyle w:val="s13"/>
          <w:rFonts w:ascii="Garamond" w:hAnsi="Garamond"/>
          <w:b/>
          <w:sz w:val="22"/>
          <w:szCs w:val="22"/>
        </w:rPr>
        <w:t>Zamawiający wymaga,</w:t>
      </w:r>
      <w:r>
        <w:rPr>
          <w:rFonts w:ascii="Garamond" w:hAnsi="Garamond"/>
          <w:b/>
          <w:sz w:val="22"/>
          <w:szCs w:val="22"/>
        </w:rPr>
        <w:t xml:space="preserve"> zgodnie z obowiązującą Charakterystyką Produktu Leczniczego, </w:t>
      </w:r>
      <w:r>
        <w:rPr>
          <w:rStyle w:val="s13"/>
          <w:rFonts w:ascii="Garamond" w:hAnsi="Garamond"/>
          <w:b/>
          <w:sz w:val="22"/>
          <w:szCs w:val="22"/>
        </w:rPr>
        <w:t xml:space="preserve"> leku w postaci </w:t>
      </w:r>
      <w:proofErr w:type="spellStart"/>
      <w:r>
        <w:rPr>
          <w:rStyle w:val="s13"/>
          <w:rFonts w:ascii="Garamond" w:hAnsi="Garamond"/>
          <w:b/>
          <w:sz w:val="22"/>
          <w:szCs w:val="22"/>
        </w:rPr>
        <w:t>budezonidu</w:t>
      </w:r>
      <w:proofErr w:type="spellEnd"/>
      <w:r>
        <w:rPr>
          <w:rStyle w:val="s13"/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Style w:val="s13"/>
          <w:rFonts w:ascii="Garamond" w:hAnsi="Garamond"/>
          <w:b/>
          <w:sz w:val="22"/>
          <w:szCs w:val="22"/>
        </w:rPr>
        <w:t>zmikronizowanego</w:t>
      </w:r>
      <w:proofErr w:type="spellEnd"/>
      <w:r>
        <w:rPr>
          <w:rStyle w:val="s13"/>
          <w:rFonts w:ascii="Garamond" w:hAnsi="Garamond"/>
          <w:b/>
          <w:sz w:val="22"/>
          <w:szCs w:val="22"/>
        </w:rPr>
        <w:t>?</w:t>
      </w:r>
    </w:p>
    <w:p w:rsidR="008170C5" w:rsidRDefault="008170C5" w:rsidP="008170C5">
      <w:pPr>
        <w:pStyle w:val="s14"/>
        <w:spacing w:before="0" w:beforeAutospacing="0" w:after="180" w:afterAutospacing="0"/>
        <w:jc w:val="both"/>
        <w:rPr>
          <w:rStyle w:val="s13"/>
          <w:rFonts w:ascii="Garamond" w:hAnsi="Garamond"/>
          <w:b/>
          <w:sz w:val="22"/>
          <w:szCs w:val="22"/>
        </w:rPr>
      </w:pPr>
      <w:r>
        <w:rPr>
          <w:rStyle w:val="s13"/>
          <w:rFonts w:ascii="Garamond" w:hAnsi="Garamond"/>
          <w:b/>
          <w:sz w:val="22"/>
          <w:szCs w:val="22"/>
        </w:rPr>
        <w:t>Odp</w:t>
      </w:r>
      <w:r w:rsidR="005C0A05">
        <w:rPr>
          <w:rStyle w:val="s13"/>
          <w:rFonts w:ascii="Garamond" w:hAnsi="Garamond"/>
          <w:b/>
          <w:sz w:val="22"/>
          <w:szCs w:val="22"/>
        </w:rPr>
        <w:t>. Dopuszcza</w:t>
      </w:r>
    </w:p>
    <w:p w:rsidR="008170C5" w:rsidRDefault="008170C5" w:rsidP="008170C5">
      <w:pPr>
        <w:pStyle w:val="s14"/>
        <w:spacing w:before="0" w:beforeAutospacing="0" w:after="180" w:afterAutospacing="0"/>
        <w:jc w:val="both"/>
      </w:pPr>
      <w:r>
        <w:rPr>
          <w:rStyle w:val="s13"/>
        </w:rPr>
        <w:t>Pyt. 9</w:t>
      </w:r>
    </w:p>
    <w:p w:rsidR="008170C5" w:rsidRDefault="008170C5" w:rsidP="008170C5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Czy Zamawiający w pakiecie</w:t>
      </w:r>
      <w:r>
        <w:rPr>
          <w:rFonts w:ascii="Garamond" w:hAnsi="Garamond" w:cs="Arial"/>
          <w:sz w:val="22"/>
          <w:szCs w:val="22"/>
        </w:rPr>
        <w:t xml:space="preserve"> Nr 18 poz. 47 i 50 (</w:t>
      </w:r>
      <w:proofErr w:type="spellStart"/>
      <w:r>
        <w:rPr>
          <w:rFonts w:ascii="Garamond" w:hAnsi="Garamond" w:cs="Arial"/>
          <w:sz w:val="22"/>
          <w:szCs w:val="22"/>
        </w:rPr>
        <w:t>Budesonide</w:t>
      </w:r>
      <w:proofErr w:type="spellEnd"/>
      <w:r>
        <w:rPr>
          <w:rFonts w:ascii="Garamond" w:hAnsi="Garamond" w:cs="Arial"/>
          <w:sz w:val="22"/>
          <w:szCs w:val="22"/>
        </w:rPr>
        <w:t xml:space="preserve"> 125 i 250 mikrograma/ml op. x 20 </w:t>
      </w:r>
      <w:proofErr w:type="spellStart"/>
      <w:r>
        <w:rPr>
          <w:rFonts w:ascii="Garamond" w:hAnsi="Garamond" w:cs="Arial"/>
          <w:sz w:val="22"/>
          <w:szCs w:val="22"/>
        </w:rPr>
        <w:t>amp</w:t>
      </w:r>
      <w:proofErr w:type="spellEnd"/>
      <w:r>
        <w:rPr>
          <w:rFonts w:ascii="Garamond" w:hAnsi="Garamond" w:cs="Arial"/>
          <w:sz w:val="22"/>
          <w:szCs w:val="22"/>
        </w:rPr>
        <w:t xml:space="preserve">. a 2 ml) </w:t>
      </w:r>
      <w:r>
        <w:rPr>
          <w:rFonts w:ascii="Garamond" w:hAnsi="Garamond"/>
          <w:b/>
          <w:sz w:val="22"/>
          <w:szCs w:val="22"/>
        </w:rPr>
        <w:t>wymaga, aby leki o tej samej nazwie międzynarodowej (</w:t>
      </w:r>
      <w:proofErr w:type="spellStart"/>
      <w:r>
        <w:rPr>
          <w:rFonts w:ascii="Garamond" w:hAnsi="Garamond"/>
          <w:sz w:val="22"/>
          <w:szCs w:val="22"/>
        </w:rPr>
        <w:t>Budesonidum</w:t>
      </w:r>
      <w:proofErr w:type="spellEnd"/>
      <w:r>
        <w:rPr>
          <w:rFonts w:ascii="Garamond" w:hAnsi="Garamond"/>
          <w:sz w:val="22"/>
          <w:szCs w:val="22"/>
        </w:rPr>
        <w:t xml:space="preserve">) </w:t>
      </w:r>
      <w:r>
        <w:rPr>
          <w:rFonts w:ascii="Garamond" w:hAnsi="Garamond"/>
          <w:b/>
          <w:sz w:val="22"/>
          <w:szCs w:val="22"/>
        </w:rPr>
        <w:t>i drodze podania, lecz w różnych dawkach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pochodziły od tego samego producenta ze względu na możliwość łączenia dawek?</w:t>
      </w:r>
    </w:p>
    <w:p w:rsidR="008170C5" w:rsidRDefault="00894500" w:rsidP="008170C5">
      <w:pPr>
        <w:jc w:val="both"/>
        <w:rPr>
          <w:rFonts w:ascii="Garamond" w:hAnsi="Garamond" w:cs="TimesNewRomanPSMT"/>
          <w:b/>
          <w:sz w:val="22"/>
          <w:szCs w:val="22"/>
        </w:rPr>
      </w:pPr>
      <w:r>
        <w:rPr>
          <w:rFonts w:ascii="Garamond" w:hAnsi="Garamond" w:cs="TimesNewRomanPSMT"/>
          <w:b/>
          <w:sz w:val="22"/>
          <w:szCs w:val="22"/>
        </w:rPr>
        <w:t xml:space="preserve">Odp. </w:t>
      </w:r>
      <w:r w:rsidR="005C0A05">
        <w:rPr>
          <w:rFonts w:ascii="Garamond" w:hAnsi="Garamond" w:cs="TimesNewRomanPSMT"/>
          <w:b/>
          <w:sz w:val="22"/>
          <w:szCs w:val="22"/>
        </w:rPr>
        <w:t>Nie wymaga</w:t>
      </w:r>
    </w:p>
    <w:p w:rsidR="005C0A05" w:rsidRDefault="00894500" w:rsidP="005C0A05">
      <w:pPr>
        <w:jc w:val="both"/>
        <w:rPr>
          <w:rFonts w:ascii="Garamond" w:hAnsi="Garamond" w:cs="TimesNewRomanPSMT"/>
          <w:b/>
          <w:sz w:val="22"/>
          <w:szCs w:val="22"/>
        </w:rPr>
      </w:pPr>
      <w:r>
        <w:rPr>
          <w:rFonts w:ascii="Garamond" w:hAnsi="Garamond" w:cs="TimesNewRomanPSMT"/>
          <w:b/>
          <w:sz w:val="22"/>
          <w:szCs w:val="22"/>
        </w:rPr>
        <w:t>Pyt. 10</w:t>
      </w:r>
    </w:p>
    <w:p w:rsidR="00894500" w:rsidRPr="005C0A05" w:rsidRDefault="00894500" w:rsidP="005C0A05">
      <w:pPr>
        <w:jc w:val="both"/>
        <w:rPr>
          <w:rFonts w:ascii="Garamond" w:hAnsi="Garamond" w:cs="TimesNewRomanPSMT"/>
          <w:b/>
          <w:sz w:val="22"/>
          <w:szCs w:val="22"/>
        </w:rPr>
      </w:pPr>
      <w:r>
        <w:rPr>
          <w:rFonts w:cs="Arial"/>
        </w:rPr>
        <w:t>Czy Zamawiający dopuści  produkt </w:t>
      </w:r>
      <w:proofErr w:type="spellStart"/>
      <w:r>
        <w:rPr>
          <w:rFonts w:cs="Arial"/>
          <w:iCs/>
        </w:rPr>
        <w:t>Citra</w:t>
      </w:r>
      <w:proofErr w:type="spellEnd"/>
      <w:r>
        <w:rPr>
          <w:rFonts w:cs="Arial"/>
          <w:iCs/>
        </w:rPr>
        <w:t xml:space="preserve">-Lock™ ( cytrynian sodu ) w stężeniu 4% w postaci bezigłowej ampułki x 5ml  z systemem </w:t>
      </w:r>
      <w:proofErr w:type="spellStart"/>
      <w:r>
        <w:rPr>
          <w:rFonts w:cs="Arial"/>
          <w:iCs/>
        </w:rPr>
        <w:t>Luer</w:t>
      </w:r>
      <w:proofErr w:type="spellEnd"/>
      <w:r>
        <w:rPr>
          <w:rFonts w:cs="Arial"/>
          <w:iCs/>
        </w:rPr>
        <w:t xml:space="preserve"> Slip, </w:t>
      </w:r>
      <w:proofErr w:type="spellStart"/>
      <w:r>
        <w:rPr>
          <w:rFonts w:cs="Arial"/>
          <w:iCs/>
        </w:rPr>
        <w:t>Luer</w:t>
      </w:r>
      <w:proofErr w:type="spellEnd"/>
      <w:r>
        <w:rPr>
          <w:rFonts w:cs="Arial"/>
          <w:iCs/>
        </w:rPr>
        <w:t xml:space="preserve"> Lock skuteczność potwierdzona wieloma badaniami klinicznymi w porównaniu  do Heparyny, stosowany w celu utrzymania prawidłowej drożności cewnika i/lub portu dożylnego ograniczając krwawienia ( pacjenci z HIT ), stosowany  jako skuteczne i bezpieczne rozwiązanie przeciwzakrzepowe i przeciwbakteryjne?</w:t>
      </w:r>
    </w:p>
    <w:p w:rsidR="00894500" w:rsidRDefault="00894500" w:rsidP="00894500">
      <w:pPr>
        <w:autoSpaceDE w:val="0"/>
        <w:autoSpaceDN w:val="0"/>
        <w:adjustRightInd w:val="0"/>
        <w:spacing w:before="100" w:beforeAutospacing="1"/>
      </w:pPr>
      <w:r>
        <w:t>Odp</w:t>
      </w:r>
      <w:r w:rsidR="005C0A05">
        <w:t xml:space="preserve">.   Zgodnie z SIWZ </w:t>
      </w:r>
    </w:p>
    <w:p w:rsidR="00894500" w:rsidRDefault="00894500" w:rsidP="00894500">
      <w:pPr>
        <w:autoSpaceDE w:val="0"/>
        <w:autoSpaceDN w:val="0"/>
        <w:adjustRightInd w:val="0"/>
        <w:spacing w:before="100" w:beforeAutospacing="1"/>
      </w:pPr>
      <w:r>
        <w:t>Pyt.11</w:t>
      </w:r>
    </w:p>
    <w:p w:rsidR="00894500" w:rsidRDefault="00894500" w:rsidP="00894500">
      <w:pPr>
        <w:autoSpaceDE w:val="0"/>
        <w:autoSpaceDN w:val="0"/>
        <w:adjustRightInd w:val="0"/>
        <w:spacing w:before="100" w:beforeAutospacing="1"/>
        <w:ind w:left="720"/>
      </w:pPr>
      <w:r>
        <w:rPr>
          <w:rFonts w:cs="Arial"/>
          <w:iCs/>
        </w:rPr>
        <w:t>Czy Zamawiający dopuści produkt o pojemności 5 ml  pakowany po 20 szt. w kartonie z przeliczeniem zamawianej ilości?</w:t>
      </w:r>
      <w:r>
        <w:t xml:space="preserve">  </w:t>
      </w:r>
    </w:p>
    <w:p w:rsidR="00894500" w:rsidRDefault="00894500" w:rsidP="00894500">
      <w:pPr>
        <w:autoSpaceDE w:val="0"/>
        <w:autoSpaceDN w:val="0"/>
        <w:adjustRightInd w:val="0"/>
        <w:spacing w:before="100" w:beforeAutospacing="1"/>
        <w:ind w:left="720"/>
      </w:pPr>
      <w:r>
        <w:t>Odp</w:t>
      </w:r>
      <w:r w:rsidR="005C0A05">
        <w:t>. Zgodnie z SIWZ</w:t>
      </w:r>
    </w:p>
    <w:p w:rsidR="00894500" w:rsidRDefault="00894500" w:rsidP="00894500">
      <w:pPr>
        <w:autoSpaceDE w:val="0"/>
        <w:autoSpaceDN w:val="0"/>
        <w:adjustRightInd w:val="0"/>
        <w:spacing w:before="100" w:beforeAutospacing="1"/>
        <w:ind w:left="720"/>
      </w:pPr>
      <w:r>
        <w:t>Pyt. 12</w:t>
      </w:r>
    </w:p>
    <w:p w:rsidR="00894500" w:rsidRDefault="00894500" w:rsidP="00894500">
      <w:pPr>
        <w:jc w:val="both"/>
        <w:rPr>
          <w:b/>
          <w:sz w:val="22"/>
          <w:szCs w:val="22"/>
        </w:rPr>
      </w:pPr>
      <w:r>
        <w:rPr>
          <w:b/>
          <w:u w:val="single"/>
        </w:rPr>
        <w:t>Poniższe pytanie dotyczy opisu przedmiotu zamówienia w Pakiecie 18 poz. 306 w przedmiotowym postępowaniu:</w:t>
      </w:r>
    </w:p>
    <w:p w:rsidR="00894500" w:rsidRDefault="00894500" w:rsidP="00894500">
      <w:pPr>
        <w:spacing w:after="200" w:line="276" w:lineRule="auto"/>
        <w:ind w:left="720"/>
        <w:jc w:val="both"/>
        <w:rPr>
          <w:b/>
        </w:rPr>
      </w:pPr>
      <w:r>
        <w:rPr>
          <w:b/>
        </w:rPr>
        <w:t xml:space="preserve">Prosimy o dopuszczenie spełniającego te same cele preparatu o nazwie </w:t>
      </w:r>
      <w:proofErr w:type="spellStart"/>
      <w:r>
        <w:rPr>
          <w:b/>
        </w:rPr>
        <w:t>EnteroDr</w:t>
      </w:r>
      <w:proofErr w:type="spellEnd"/>
      <w:r>
        <w:rPr>
          <w:b/>
        </w:rPr>
        <w:t xml:space="preserve">., będącego dietetycznym środkiem spożywczym specjalnego przeznaczenia medycznego, występującym w takiej samej postaci, zawierającym w swoim składzie identyczne stężenie </w:t>
      </w:r>
      <w:proofErr w:type="spellStart"/>
      <w:r>
        <w:rPr>
          <w:b/>
        </w:rPr>
        <w:t>probiotycznych</w:t>
      </w:r>
      <w:proofErr w:type="spellEnd"/>
      <w:r>
        <w:rPr>
          <w:b/>
        </w:rPr>
        <w:t xml:space="preserve"> drożdży </w:t>
      </w:r>
      <w:proofErr w:type="spellStart"/>
      <w:r>
        <w:rPr>
          <w:b/>
          <w:i/>
        </w:rPr>
        <w:t>Saccharomyces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boulardii</w:t>
      </w:r>
      <w:proofErr w:type="spellEnd"/>
      <w:r>
        <w:rPr>
          <w:b/>
        </w:rPr>
        <w:t xml:space="preserve"> w kapsułce (250 mg), konfekcjonowanego w opakowaniach x 20 kaps. – po przeliczeniu kapsułek na odpowiednią liczbę opakowań i zaokrągleniu uzyskanego wyniku w górę. </w:t>
      </w:r>
    </w:p>
    <w:p w:rsidR="00894500" w:rsidRDefault="00894500" w:rsidP="00894500">
      <w:pPr>
        <w:spacing w:after="200" w:line="276" w:lineRule="auto"/>
        <w:ind w:left="7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Odp</w:t>
      </w:r>
      <w:r w:rsidR="005C0A05">
        <w:rPr>
          <w:b/>
          <w:color w:val="000000"/>
          <w:sz w:val="20"/>
          <w:szCs w:val="20"/>
        </w:rPr>
        <w:t xml:space="preserve">. Wymaga się leku zawierającego </w:t>
      </w:r>
      <w:proofErr w:type="spellStart"/>
      <w:r w:rsidR="005C0A05">
        <w:rPr>
          <w:b/>
          <w:color w:val="000000"/>
          <w:sz w:val="20"/>
          <w:szCs w:val="20"/>
        </w:rPr>
        <w:t>boulardii</w:t>
      </w:r>
      <w:proofErr w:type="spellEnd"/>
      <w:r w:rsidR="005C0A05">
        <w:rPr>
          <w:b/>
          <w:color w:val="000000"/>
          <w:sz w:val="20"/>
          <w:szCs w:val="20"/>
        </w:rPr>
        <w:t xml:space="preserve"> 250 mg</w:t>
      </w:r>
    </w:p>
    <w:p w:rsidR="00894500" w:rsidRDefault="00894500" w:rsidP="00894500">
      <w:pPr>
        <w:spacing w:after="200" w:line="276" w:lineRule="auto"/>
        <w:ind w:left="7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Pyt. 13</w:t>
      </w:r>
    </w:p>
    <w:p w:rsidR="00894500" w:rsidRDefault="00894500" w:rsidP="00894500">
      <w:pPr>
        <w:spacing w:before="100" w:beforeAutospacing="1" w:after="100" w:afterAutospacing="1" w:line="276" w:lineRule="auto"/>
      </w:pPr>
      <w:r>
        <w:rPr>
          <w:rFonts w:ascii="Cambria" w:hAnsi="Cambria"/>
          <w:b/>
          <w:bCs/>
        </w:rPr>
        <w:t>Pakiet 17, pozycja 48</w:t>
      </w:r>
    </w:p>
    <w:p w:rsidR="00894500" w:rsidRDefault="00894500" w:rsidP="00894500">
      <w:pPr>
        <w:spacing w:before="100" w:beforeAutospacing="1" w:after="100" w:afterAutospacing="1" w:line="276" w:lineRule="auto"/>
        <w:rPr>
          <w:rFonts w:ascii="Cambria" w:hAnsi="Cambria"/>
        </w:rPr>
      </w:pPr>
      <w:r>
        <w:rPr>
          <w:rFonts w:ascii="Cambria" w:hAnsi="Cambria"/>
        </w:rPr>
        <w:t xml:space="preserve">Czy Zamawiający dopuści produkt </w:t>
      </w:r>
      <w:proofErr w:type="spellStart"/>
      <w:r>
        <w:rPr>
          <w:rFonts w:ascii="Cambria" w:hAnsi="Cambria"/>
          <w:u w:val="single"/>
        </w:rPr>
        <w:t>Praxi-Flow</w:t>
      </w:r>
      <w:proofErr w:type="spellEnd"/>
      <w:r>
        <w:rPr>
          <w:rFonts w:ascii="Cambria" w:hAnsi="Cambria"/>
          <w:u w:val="single"/>
        </w:rPr>
        <w:t xml:space="preserve">™ w skład zestawu wchodzi </w:t>
      </w:r>
      <w:proofErr w:type="spellStart"/>
      <w:r>
        <w:rPr>
          <w:rFonts w:ascii="Cambria" w:hAnsi="Cambria"/>
          <w:u w:val="single"/>
        </w:rPr>
        <w:t>Praxiject</w:t>
      </w:r>
      <w:proofErr w:type="spellEnd"/>
      <w:r>
        <w:rPr>
          <w:rFonts w:ascii="Cambria" w:hAnsi="Cambria"/>
          <w:u w:val="single"/>
        </w:rPr>
        <w:t xml:space="preserve"> 0,9 NaCl x 10ml do płukania dostępu naczyniowego i </w:t>
      </w:r>
      <w:proofErr w:type="spellStart"/>
      <w:r>
        <w:rPr>
          <w:rFonts w:ascii="Cambria" w:hAnsi="Cambria"/>
          <w:u w:val="single"/>
        </w:rPr>
        <w:t>CitraFlow</w:t>
      </w:r>
      <w:proofErr w:type="spellEnd"/>
      <w:r>
        <w:rPr>
          <w:rFonts w:ascii="Cambria" w:hAnsi="Cambria"/>
          <w:u w:val="single"/>
        </w:rPr>
        <w:t xml:space="preserve"> 4% x 3ml</w:t>
      </w:r>
      <w:r>
        <w:rPr>
          <w:rFonts w:ascii="Cambria" w:hAnsi="Cambria"/>
        </w:rPr>
        <w:t xml:space="preserve"> stosowany w celu utrzymania prawidłowej drożności dostępu naczyniowego o najwyższej czystości chemicznej i wysokim profilu bezpieczeństwa dla pacjenta zapewnia skuteczne i bezpieczne rozwiązanie przeciwzakrzepowe oraz przeciwbakteryjne potwierdzone klinicznie. Specjalna budowa ampułko-strzykawki </w:t>
      </w:r>
      <w:proofErr w:type="spellStart"/>
      <w:r>
        <w:rPr>
          <w:rFonts w:ascii="Cambria" w:hAnsi="Cambria"/>
        </w:rPr>
        <w:t>Praxiject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CitraFlow</w:t>
      </w:r>
      <w:proofErr w:type="spellEnd"/>
      <w:r>
        <w:rPr>
          <w:rFonts w:ascii="Cambria" w:hAnsi="Cambria"/>
        </w:rPr>
        <w:t xml:space="preserve"> chroni każdy dostęp naczyniowy przed uszkodzeniem gdyż maksymalne ciśnienie wytwarzane podczas wprowadzania produktu do kanału cewnika wynosi 1,37 </w:t>
      </w:r>
      <w:proofErr w:type="spellStart"/>
      <w:r>
        <w:rPr>
          <w:rFonts w:ascii="Cambria" w:hAnsi="Cambria"/>
        </w:rPr>
        <w:t>bara</w:t>
      </w:r>
      <w:proofErr w:type="spellEnd"/>
      <w:r>
        <w:rPr>
          <w:rFonts w:ascii="Cambria" w:hAnsi="Cambria"/>
        </w:rPr>
        <w:t xml:space="preserve">. Ciśnienie infuzji nie powinno nigdy przekraczać 25 psi (1,7 </w:t>
      </w:r>
      <w:proofErr w:type="spellStart"/>
      <w:r>
        <w:rPr>
          <w:rFonts w:ascii="Cambria" w:hAnsi="Cambria"/>
        </w:rPr>
        <w:t>bara</w:t>
      </w:r>
      <w:proofErr w:type="spellEnd"/>
      <w:r>
        <w:rPr>
          <w:rFonts w:ascii="Cambria" w:hAnsi="Cambria"/>
        </w:rPr>
        <w:t>) co w przypadku zwykłych strzykawek może nie spełniać tego warunku i wynosić 39 psi (2.69</w:t>
      </w:r>
      <w:r>
        <w:rPr>
          <w:rFonts w:ascii="Cambria" w:hAnsi="Cambria"/>
          <w:spacing w:val="10"/>
        </w:rPr>
        <w:t xml:space="preserve"> </w:t>
      </w:r>
      <w:proofErr w:type="spellStart"/>
      <w:r>
        <w:rPr>
          <w:rFonts w:ascii="Cambria" w:hAnsi="Cambria"/>
        </w:rPr>
        <w:t>bara</w:t>
      </w:r>
      <w:proofErr w:type="spellEnd"/>
      <w:r>
        <w:rPr>
          <w:rFonts w:ascii="Cambria" w:hAnsi="Cambria"/>
        </w:rPr>
        <w:t xml:space="preserve">). </w:t>
      </w:r>
      <w:proofErr w:type="spellStart"/>
      <w:r>
        <w:rPr>
          <w:rFonts w:ascii="Cambria" w:hAnsi="Cambria"/>
        </w:rPr>
        <w:t>PraxiFlow</w:t>
      </w:r>
      <w:proofErr w:type="spellEnd"/>
      <w:r>
        <w:rPr>
          <w:rFonts w:ascii="Cambria" w:hAnsi="Cambria"/>
        </w:rPr>
        <w:t xml:space="preserve"> pakowany jest w fabrycznie napełnione ampułko-strzykawki co chroni przed utratą produktu podczas nabierania np.: z fiolki – brak zachowanego sterylnego pola. Specjalnie zaprojektowana budowa ampułko-strzykawki </w:t>
      </w:r>
      <w:proofErr w:type="spellStart"/>
      <w:r>
        <w:rPr>
          <w:rFonts w:ascii="Cambria" w:hAnsi="Cambria"/>
        </w:rPr>
        <w:t>CitraFlow</w:t>
      </w:r>
      <w:proofErr w:type="spellEnd"/>
      <w:r>
        <w:rPr>
          <w:rFonts w:ascii="Cambria" w:hAnsi="Cambria"/>
        </w:rPr>
        <w:t xml:space="preserve"> nie powoduje </w:t>
      </w:r>
      <w:proofErr w:type="spellStart"/>
      <w:r>
        <w:rPr>
          <w:rFonts w:ascii="Cambria" w:hAnsi="Cambria"/>
        </w:rPr>
        <w:t>refluksu</w:t>
      </w:r>
      <w:proofErr w:type="spellEnd"/>
      <w:r>
        <w:rPr>
          <w:rFonts w:ascii="Cambria" w:hAnsi="Cambria"/>
        </w:rPr>
        <w:t xml:space="preserve"> krwi chroniąc przed działaniem niepożądanym jak ( metaliczny posmak, mrowienie dłoni ) zabezpiecza przed utworzeniem skrzepu i nie ogranicza przepływu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 xml:space="preserve">krwi. Opakowanie zawiera dwie ampułko-strzykawki aseptycznie zamknięte brak cząstek podczas otwierania opakowania ( zachowane sterylne pole ) w ilości 75 blistrów w opakowaniu zbiorczym przeliczeniem zamawianej ilości . </w:t>
      </w:r>
    </w:p>
    <w:p w:rsidR="0010782F" w:rsidRDefault="0010782F" w:rsidP="00894500">
      <w:pPr>
        <w:spacing w:before="100" w:beforeAutospacing="1" w:after="100" w:afterAutospacing="1" w:line="276" w:lineRule="auto"/>
      </w:pPr>
      <w:r>
        <w:t>Odp. Zgodnie z SIWZ</w:t>
      </w:r>
    </w:p>
    <w:p w:rsidR="0010782F" w:rsidRDefault="0010782F" w:rsidP="00894500">
      <w:pPr>
        <w:spacing w:before="100" w:beforeAutospacing="1" w:after="100" w:afterAutospacing="1" w:line="276" w:lineRule="auto"/>
      </w:pPr>
      <w:r>
        <w:t>Pyt. 14</w:t>
      </w:r>
    </w:p>
    <w:p w:rsidR="00894500" w:rsidRDefault="00894500" w:rsidP="00894500">
      <w:pPr>
        <w:spacing w:before="100" w:beforeAutospacing="1" w:after="100" w:afterAutospacing="1" w:line="276" w:lineRule="auto"/>
      </w:pPr>
      <w:r>
        <w:rPr>
          <w:rFonts w:ascii="Cambria" w:hAnsi="Cambria"/>
        </w:rPr>
        <w:t xml:space="preserve">Czy Zamawiający wyrazi zgodę na wydzielenie pozycji 48 z Pakietu nr 17 i stworzy osobny pakiet? </w:t>
      </w:r>
    </w:p>
    <w:p w:rsidR="00894500" w:rsidRDefault="00894500" w:rsidP="00894500">
      <w:pPr>
        <w:spacing w:before="100" w:beforeAutospacing="1" w:after="100" w:afterAutospacing="1" w:line="276" w:lineRule="auto"/>
        <w:rPr>
          <w:rFonts w:ascii="Cambria" w:hAnsi="Cambria"/>
        </w:rPr>
      </w:pPr>
      <w:r>
        <w:rPr>
          <w:rFonts w:ascii="Cambria" w:hAnsi="Cambria"/>
        </w:rPr>
        <w:t>Wydzielenie pozycji stworzy Zamawiającemu możliwości na składania ofert konkurencyjnych co przełoży się na efektywne zarządzanie środkami publicznymi.</w:t>
      </w:r>
    </w:p>
    <w:p w:rsidR="00894500" w:rsidRDefault="00894500" w:rsidP="00894500">
      <w:pPr>
        <w:spacing w:before="100" w:beforeAutospacing="1" w:after="100" w:afterAutospacing="1" w:line="276" w:lineRule="auto"/>
      </w:pPr>
      <w:r>
        <w:t>Odp</w:t>
      </w:r>
      <w:r w:rsidR="0010782F">
        <w:t>. Zamawiający nie wyraża zgody</w:t>
      </w:r>
    </w:p>
    <w:p w:rsidR="00523B0B" w:rsidRDefault="00894500" w:rsidP="00523B0B">
      <w:pPr>
        <w:pStyle w:val="Default"/>
      </w:pPr>
      <w:r>
        <w:t>Pyt. 1</w:t>
      </w:r>
      <w:r w:rsidR="0010782F">
        <w:t>5</w:t>
      </w:r>
    </w:p>
    <w:p w:rsidR="00523B0B" w:rsidRDefault="00523B0B" w:rsidP="00523B0B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 Czy Zamawiający wyrazi zgodę na zmianę postaci proponowanych preparatów – tabletki na tabletki powlekane lub kapsułki lub drażetki i odwrotnie, fiolki na ampułki lub ampułko-strzykawki i odwrotnie? </w:t>
      </w:r>
    </w:p>
    <w:p w:rsidR="00523B0B" w:rsidRDefault="00523B0B" w:rsidP="00523B0B">
      <w:pPr>
        <w:pStyle w:val="Default"/>
        <w:rPr>
          <w:rFonts w:ascii="Cambria" w:hAnsi="Cambria"/>
        </w:rPr>
      </w:pPr>
      <w:r>
        <w:rPr>
          <w:rFonts w:ascii="Cambria" w:hAnsi="Cambria"/>
        </w:rPr>
        <w:t>Odp. Dopuszcza się zamianę tabletek na tabletki powlekane lub kapsułki lub drażetki i odwrotnie, fiolki na ampułki i odwrotnie. Nie dopuszcza się zamiany ampułko-strzykawek na fiolki czy ampułki</w:t>
      </w:r>
    </w:p>
    <w:p w:rsidR="00523B0B" w:rsidRDefault="00523B0B" w:rsidP="00523B0B">
      <w:pPr>
        <w:pStyle w:val="Default"/>
        <w:rPr>
          <w:rFonts w:ascii="Cambria" w:hAnsi="Cambria"/>
        </w:rPr>
      </w:pPr>
      <w:r>
        <w:rPr>
          <w:rFonts w:ascii="Cambria" w:hAnsi="Cambria"/>
        </w:rPr>
        <w:t>Pyt. 16</w:t>
      </w:r>
    </w:p>
    <w:p w:rsidR="00523B0B" w:rsidRDefault="00523B0B" w:rsidP="00523B0B">
      <w:pPr>
        <w:pStyle w:val="Default"/>
        <w:rPr>
          <w:rFonts w:ascii="Cambria" w:hAnsi="Cambria"/>
        </w:rPr>
      </w:pPr>
    </w:p>
    <w:p w:rsidR="00523B0B" w:rsidRDefault="00523B0B" w:rsidP="00523B0B">
      <w:pPr>
        <w:pStyle w:val="Tekstpodstawow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Czy Zamawiający wyrazi zgodę na zmianę wielkości opakowań (tabletek, ampułek, kilogramów itp.)? Jeśli tak to prosimy o podanie w jaki sposób przeliczyć ilość opakowań handlowych ekonomicznym (czy podać pełne ilości opakowań zaokrąglone w górę, czy ilość opakowań przeliczyć do dwóch miejsc po przecinku)?</w:t>
      </w:r>
    </w:p>
    <w:p w:rsidR="00523B0B" w:rsidRDefault="00523B0B" w:rsidP="00523B0B">
      <w:pPr>
        <w:pStyle w:val="Tekstpodstawow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Odp. Dopuszcza się przeliczenie wielkości opakowań, zaokrąglając ilości do pełnych opakowań w górę. Nie dotyczy pozycji w których w specyfikacji zastrzeżono inaczej.</w:t>
      </w:r>
    </w:p>
    <w:p w:rsidR="00523B0B" w:rsidRDefault="00523B0B" w:rsidP="00523B0B">
      <w:pPr>
        <w:pStyle w:val="Tekstpodstawow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Pyt. 17</w:t>
      </w:r>
    </w:p>
    <w:p w:rsidR="00523B0B" w:rsidRDefault="00523B0B" w:rsidP="00523B0B">
      <w:pPr>
        <w:pStyle w:val="Tekstpodstawow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523B0B" w:rsidRDefault="00523B0B" w:rsidP="00523B0B">
      <w:pPr>
        <w:pStyle w:val="Tekstpodstawow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Odp. Dopuszcza się przeliczenie wielkości opakowań, zaokrąglając ilość do pełnych opakowań w górę. Nie dotyczy pozycji w których w specyfikacji zastrzeżono inaczej.</w:t>
      </w:r>
    </w:p>
    <w:p w:rsidR="00523B0B" w:rsidRDefault="00523B0B" w:rsidP="00523B0B">
      <w:pPr>
        <w:pStyle w:val="Tekstpodstawow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Pyt. 18</w:t>
      </w:r>
    </w:p>
    <w:p w:rsidR="00523B0B" w:rsidRDefault="00523B0B" w:rsidP="00523B0B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 Zwracamy się z prośbą o określenie w jaki sposób postąpić w przypadku zaprzestania lub braku produkcji danego preparatu. Czy Zamawiający wyrazi zgodę na podanie ostatniej ceny i informacji pod pakietem?</w:t>
      </w:r>
    </w:p>
    <w:p w:rsidR="00523B0B" w:rsidRDefault="00523B0B" w:rsidP="00523B0B">
      <w:pPr>
        <w:pStyle w:val="Default"/>
        <w:rPr>
          <w:rFonts w:ascii="Cambria" w:hAnsi="Cambria"/>
        </w:rPr>
      </w:pPr>
      <w:r>
        <w:rPr>
          <w:rFonts w:ascii="Cambria" w:hAnsi="Cambria"/>
        </w:rPr>
        <w:t>Odp. TAK</w:t>
      </w:r>
    </w:p>
    <w:p w:rsidR="00523B0B" w:rsidRDefault="00523B0B" w:rsidP="00523B0B">
      <w:pPr>
        <w:pStyle w:val="Default"/>
        <w:rPr>
          <w:rFonts w:ascii="Cambria" w:hAnsi="Cambria"/>
        </w:rPr>
      </w:pPr>
      <w:r>
        <w:rPr>
          <w:rFonts w:ascii="Cambria" w:hAnsi="Cambria"/>
        </w:rPr>
        <w:t>Pyt. 19</w:t>
      </w:r>
      <w:r>
        <w:rPr>
          <w:rFonts w:ascii="Cambria" w:hAnsi="Cambria"/>
        </w:rPr>
        <w:t xml:space="preserve"> </w:t>
      </w:r>
    </w:p>
    <w:p w:rsidR="00523B0B" w:rsidRDefault="00523B0B" w:rsidP="00523B0B">
      <w:pPr>
        <w:pStyle w:val="Default"/>
        <w:rPr>
          <w:rFonts w:ascii="Cambria" w:hAnsi="Cambria"/>
        </w:rPr>
      </w:pPr>
      <w:r>
        <w:rPr>
          <w:rFonts w:ascii="Cambria" w:hAnsi="Cambria"/>
        </w:rPr>
        <w:t>Czy w pakiecie nr 40 pozycja 1 (</w:t>
      </w:r>
      <w:proofErr w:type="spellStart"/>
      <w:r>
        <w:rPr>
          <w:rFonts w:ascii="Cambria" w:hAnsi="Cambria"/>
        </w:rPr>
        <w:t>Sevoflurane</w:t>
      </w:r>
      <w:proofErr w:type="spellEnd"/>
      <w:r>
        <w:rPr>
          <w:rFonts w:ascii="Cambria" w:hAnsi="Cambria"/>
        </w:rPr>
        <w:t xml:space="preserve"> 250 ml -160 butelek) Zamawiający dopuszcza do wyceny </w:t>
      </w:r>
      <w:proofErr w:type="spellStart"/>
      <w:r>
        <w:rPr>
          <w:rFonts w:ascii="Cambria" w:hAnsi="Cambria"/>
        </w:rPr>
        <w:t>sewofluran</w:t>
      </w:r>
      <w:proofErr w:type="spellEnd"/>
      <w:r>
        <w:rPr>
          <w:rFonts w:ascii="Cambria" w:hAnsi="Cambria"/>
        </w:rPr>
        <w:t xml:space="preserve"> posiadający niezgodności farmaceutyczne z uwagi na profil bezpieczeństwa stosowania?</w:t>
      </w:r>
    </w:p>
    <w:p w:rsidR="00397AF0" w:rsidRDefault="00397AF0" w:rsidP="00523B0B">
      <w:pPr>
        <w:pStyle w:val="Default"/>
        <w:rPr>
          <w:rFonts w:ascii="Cambria" w:hAnsi="Cambria"/>
        </w:rPr>
      </w:pPr>
      <w:r>
        <w:rPr>
          <w:rFonts w:ascii="Cambria" w:hAnsi="Cambria"/>
        </w:rPr>
        <w:t>Odp. Zgodnie z SIWZ</w:t>
      </w:r>
    </w:p>
    <w:p w:rsidR="00523B0B" w:rsidRDefault="00397AF0" w:rsidP="00523B0B">
      <w:pPr>
        <w:jc w:val="both"/>
        <w:rPr>
          <w:iCs/>
        </w:rPr>
      </w:pPr>
      <w:r>
        <w:rPr>
          <w:iCs/>
        </w:rPr>
        <w:t>Pyt. 20</w:t>
      </w:r>
    </w:p>
    <w:p w:rsidR="00397AF0" w:rsidRDefault="00397AF0" w:rsidP="00523B0B">
      <w:pPr>
        <w:jc w:val="both"/>
        <w:rPr>
          <w:iCs/>
        </w:rPr>
      </w:pPr>
    </w:p>
    <w:p w:rsidR="00397AF0" w:rsidRDefault="00397AF0" w:rsidP="00397AF0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436"/>
        <w:contextualSpacing w:val="0"/>
        <w:jc w:val="both"/>
      </w:pPr>
      <w:r>
        <w:t xml:space="preserve">Do </w:t>
      </w:r>
      <w:proofErr w:type="spellStart"/>
      <w:r>
        <w:t>treści</w:t>
      </w:r>
      <w:proofErr w:type="spellEnd"/>
      <w:r>
        <w:t xml:space="preserve"> §1 ust.3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. </w:t>
      </w:r>
      <w:proofErr w:type="spellStart"/>
      <w:r>
        <w:t>Skoro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dostawy</w:t>
      </w:r>
      <w:proofErr w:type="spellEnd"/>
      <w:r>
        <w:t xml:space="preserve"> </w:t>
      </w:r>
      <w:proofErr w:type="spellStart"/>
      <w:r>
        <w:t>sukcesywne</w:t>
      </w:r>
      <w:proofErr w:type="spellEnd"/>
      <w:r>
        <w:t xml:space="preserve">, </w:t>
      </w:r>
      <w:proofErr w:type="spellStart"/>
      <w:r>
        <w:t>zgodne</w:t>
      </w:r>
      <w:proofErr w:type="spellEnd"/>
      <w:r>
        <w:t xml:space="preserve"> z </w:t>
      </w:r>
      <w:proofErr w:type="spellStart"/>
      <w:r>
        <w:t>bieżącym</w:t>
      </w:r>
      <w:proofErr w:type="spellEnd"/>
      <w:r>
        <w:t xml:space="preserve"> </w:t>
      </w:r>
      <w:proofErr w:type="spellStart"/>
      <w:r>
        <w:t>zapotrzebowaniem</w:t>
      </w:r>
      <w:proofErr w:type="spellEnd"/>
      <w:r>
        <w:t xml:space="preserve">, </w:t>
      </w:r>
      <w:proofErr w:type="spellStart"/>
      <w:r>
        <w:t>czyli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konieczności</w:t>
      </w:r>
      <w:proofErr w:type="spellEnd"/>
      <w:r>
        <w:t xml:space="preserve"> </w:t>
      </w:r>
      <w:proofErr w:type="spellStart"/>
      <w:r>
        <w:t>dłuższego</w:t>
      </w:r>
      <w:proofErr w:type="spellEnd"/>
      <w:r>
        <w:t xml:space="preserve"> </w:t>
      </w:r>
      <w:proofErr w:type="spellStart"/>
      <w:r>
        <w:t>przechowywania</w:t>
      </w:r>
      <w:proofErr w:type="spellEnd"/>
      <w:r>
        <w:t xml:space="preserve"> </w:t>
      </w:r>
      <w:proofErr w:type="spellStart"/>
      <w:r>
        <w:t>zamówionych</w:t>
      </w:r>
      <w:proofErr w:type="spellEnd"/>
      <w:r>
        <w:t xml:space="preserve"> </w:t>
      </w:r>
      <w:proofErr w:type="spellStart"/>
      <w:r>
        <w:t>produktów</w:t>
      </w:r>
      <w:proofErr w:type="spellEnd"/>
      <w:r>
        <w:t xml:space="preserve"> w </w:t>
      </w:r>
      <w:proofErr w:type="spellStart"/>
      <w:r>
        <w:t>magazynie</w:t>
      </w:r>
      <w:proofErr w:type="spellEnd"/>
      <w:r>
        <w:t xml:space="preserve"> </w:t>
      </w:r>
      <w:proofErr w:type="spellStart"/>
      <w:r>
        <w:t>apteki</w:t>
      </w:r>
      <w:proofErr w:type="spellEnd"/>
      <w:r>
        <w:t xml:space="preserve"> </w:t>
      </w:r>
      <w:proofErr w:type="spellStart"/>
      <w:r>
        <w:t>szpitalnej</w:t>
      </w:r>
      <w:proofErr w:type="spellEnd"/>
      <w:r>
        <w:t xml:space="preserve">, to </w:t>
      </w:r>
      <w:proofErr w:type="spellStart"/>
      <w:r>
        <w:t>dlaczego</w:t>
      </w:r>
      <w:proofErr w:type="spellEnd"/>
      <w:r>
        <w:t xml:space="preserve"> </w:t>
      </w:r>
      <w:proofErr w:type="spellStart"/>
      <w:r>
        <w:t>wyznacza</w:t>
      </w:r>
      <w:proofErr w:type="spellEnd"/>
      <w:r>
        <w:t xml:space="preserve"> </w:t>
      </w:r>
      <w:proofErr w:type="spellStart"/>
      <w:r>
        <w:t>warunek</w:t>
      </w:r>
      <w:proofErr w:type="spellEnd"/>
      <w:r>
        <w:t xml:space="preserve"> 24-miesięcznego </w:t>
      </w:r>
      <w:proofErr w:type="spellStart"/>
      <w:r>
        <w:t>okresu</w:t>
      </w:r>
      <w:proofErr w:type="spellEnd"/>
      <w:r>
        <w:t xml:space="preserve"> </w:t>
      </w:r>
      <w:proofErr w:type="spellStart"/>
      <w:r>
        <w:t>ważności</w:t>
      </w:r>
      <w:proofErr w:type="spellEnd"/>
      <w:r>
        <w:t xml:space="preserve"> </w:t>
      </w:r>
      <w:proofErr w:type="spellStart"/>
      <w:r>
        <w:t>zamówionych</w:t>
      </w:r>
      <w:proofErr w:type="spellEnd"/>
      <w:r>
        <w:t xml:space="preserve"> </w:t>
      </w:r>
      <w:proofErr w:type="spellStart"/>
      <w:r>
        <w:t>towarów</w:t>
      </w:r>
      <w:proofErr w:type="spellEnd"/>
      <w:r>
        <w:t xml:space="preserve">? </w:t>
      </w:r>
      <w:proofErr w:type="spellStart"/>
      <w:r>
        <w:t>Wskazujemy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farmaceutycznym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lecznicze</w:t>
      </w:r>
      <w:proofErr w:type="spellEnd"/>
      <w:r>
        <w:t xml:space="preserve"> do </w:t>
      </w:r>
      <w:proofErr w:type="spellStart"/>
      <w:r>
        <w:t>ostatniego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ważności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pełnowartościowe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dopuszczone</w:t>
      </w:r>
      <w:proofErr w:type="spellEnd"/>
      <w:r>
        <w:t xml:space="preserve"> do </w:t>
      </w:r>
      <w:proofErr w:type="spellStart"/>
      <w:r>
        <w:t>obrotu</w:t>
      </w:r>
      <w:proofErr w:type="spellEnd"/>
      <w:r>
        <w:t xml:space="preserve">.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powyższym</w:t>
      </w:r>
      <w:proofErr w:type="spellEnd"/>
      <w:r>
        <w:t xml:space="preserve"> </w:t>
      </w:r>
      <w:proofErr w:type="spellStart"/>
      <w:r>
        <w:t>prosimy</w:t>
      </w:r>
      <w:proofErr w:type="spellEnd"/>
      <w:r>
        <w:t xml:space="preserve"> o </w:t>
      </w:r>
      <w:proofErr w:type="spellStart"/>
      <w:r>
        <w:t>dopisanie</w:t>
      </w:r>
      <w:proofErr w:type="spellEnd"/>
      <w:r>
        <w:t xml:space="preserve"> do §1 ust.2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następującej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: "..., </w:t>
      </w:r>
      <w:proofErr w:type="spellStart"/>
      <w:r>
        <w:t>dostawy</w:t>
      </w:r>
      <w:proofErr w:type="spellEnd"/>
      <w:r>
        <w:t xml:space="preserve"> </w:t>
      </w:r>
      <w:proofErr w:type="spellStart"/>
      <w:r>
        <w:t>produktów</w:t>
      </w:r>
      <w:proofErr w:type="spellEnd"/>
      <w:r>
        <w:t xml:space="preserve"> z </w:t>
      </w:r>
      <w:proofErr w:type="spellStart"/>
      <w:r>
        <w:t>krótszym</w:t>
      </w:r>
      <w:proofErr w:type="spellEnd"/>
      <w:r>
        <w:t xml:space="preserve"> </w:t>
      </w:r>
      <w:proofErr w:type="spellStart"/>
      <w:r>
        <w:t>terminem</w:t>
      </w:r>
      <w:proofErr w:type="spellEnd"/>
      <w:r>
        <w:t xml:space="preserve"> </w:t>
      </w:r>
      <w:proofErr w:type="spellStart"/>
      <w:r>
        <w:t>ważności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dopuszczone</w:t>
      </w:r>
      <w:proofErr w:type="spellEnd"/>
      <w:r>
        <w:t xml:space="preserve"> w </w:t>
      </w:r>
      <w:proofErr w:type="spellStart"/>
      <w:r>
        <w:t>wyjątkowych</w:t>
      </w:r>
      <w:proofErr w:type="spellEnd"/>
      <w:r>
        <w:t xml:space="preserve"> </w:t>
      </w:r>
      <w:proofErr w:type="spellStart"/>
      <w:r>
        <w:t>sytuacjach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każdorazowo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wyrazić</w:t>
      </w:r>
      <w:proofErr w:type="spellEnd"/>
      <w:r>
        <w:t xml:space="preserve"> </w:t>
      </w:r>
      <w:proofErr w:type="spellStart"/>
      <w:r>
        <w:t>upoważniony</w:t>
      </w:r>
      <w:proofErr w:type="spellEnd"/>
      <w:r>
        <w:t xml:space="preserve"> </w:t>
      </w:r>
      <w:proofErr w:type="spellStart"/>
      <w:r>
        <w:t>przedstawiciel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."</w:t>
      </w:r>
    </w:p>
    <w:p w:rsidR="00397AF0" w:rsidRDefault="00397AF0" w:rsidP="00397AF0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436"/>
        <w:contextualSpacing w:val="0"/>
        <w:jc w:val="both"/>
        <w:rPr>
          <w:sz w:val="24"/>
          <w:szCs w:val="21"/>
        </w:rPr>
      </w:pPr>
      <w:proofErr w:type="spellStart"/>
      <w:r>
        <w:rPr>
          <w:sz w:val="24"/>
          <w:szCs w:val="21"/>
        </w:rPr>
        <w:t>Odp</w:t>
      </w:r>
      <w:proofErr w:type="spellEnd"/>
      <w:r>
        <w:rPr>
          <w:sz w:val="24"/>
          <w:szCs w:val="21"/>
        </w:rPr>
        <w:t xml:space="preserve">. </w:t>
      </w:r>
      <w:proofErr w:type="spellStart"/>
      <w:r>
        <w:rPr>
          <w:sz w:val="24"/>
          <w:szCs w:val="21"/>
        </w:rPr>
        <w:t>Projekt</w:t>
      </w:r>
      <w:proofErr w:type="spellEnd"/>
      <w:r>
        <w:rPr>
          <w:sz w:val="24"/>
          <w:szCs w:val="21"/>
        </w:rPr>
        <w:t xml:space="preserve"> </w:t>
      </w:r>
      <w:proofErr w:type="spellStart"/>
      <w:r>
        <w:rPr>
          <w:sz w:val="24"/>
          <w:szCs w:val="21"/>
        </w:rPr>
        <w:t>umowy</w:t>
      </w:r>
      <w:proofErr w:type="spellEnd"/>
      <w:r>
        <w:rPr>
          <w:sz w:val="24"/>
          <w:szCs w:val="21"/>
        </w:rPr>
        <w:t xml:space="preserve"> </w:t>
      </w:r>
      <w:proofErr w:type="spellStart"/>
      <w:r>
        <w:rPr>
          <w:sz w:val="24"/>
          <w:szCs w:val="21"/>
        </w:rPr>
        <w:t>pozostaje</w:t>
      </w:r>
      <w:proofErr w:type="spellEnd"/>
      <w:r>
        <w:rPr>
          <w:sz w:val="24"/>
          <w:szCs w:val="21"/>
        </w:rPr>
        <w:t xml:space="preserve"> bez </w:t>
      </w:r>
      <w:proofErr w:type="spellStart"/>
      <w:r>
        <w:rPr>
          <w:sz w:val="24"/>
          <w:szCs w:val="21"/>
        </w:rPr>
        <w:t>zmian</w:t>
      </w:r>
      <w:proofErr w:type="spellEnd"/>
    </w:p>
    <w:p w:rsidR="00397AF0" w:rsidRDefault="00397AF0" w:rsidP="00397AF0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436"/>
        <w:contextualSpacing w:val="0"/>
        <w:jc w:val="both"/>
        <w:rPr>
          <w:sz w:val="24"/>
          <w:szCs w:val="21"/>
        </w:rPr>
      </w:pPr>
      <w:proofErr w:type="spellStart"/>
      <w:r>
        <w:rPr>
          <w:sz w:val="24"/>
          <w:szCs w:val="21"/>
        </w:rPr>
        <w:t>Pyt</w:t>
      </w:r>
      <w:proofErr w:type="spellEnd"/>
      <w:r>
        <w:rPr>
          <w:sz w:val="24"/>
          <w:szCs w:val="21"/>
        </w:rPr>
        <w:t>. 21</w:t>
      </w:r>
    </w:p>
    <w:p w:rsidR="00397AF0" w:rsidRDefault="00397AF0" w:rsidP="00397AF0">
      <w:pPr>
        <w:pStyle w:val="Akapitzlist"/>
        <w:tabs>
          <w:tab w:val="left" w:pos="0"/>
        </w:tabs>
        <w:ind w:left="436"/>
        <w:jc w:val="both"/>
      </w:pPr>
      <w:r>
        <w:t xml:space="preserve"> </w:t>
      </w:r>
      <w:proofErr w:type="spellStart"/>
      <w:r>
        <w:t>Prosimy</w:t>
      </w:r>
      <w:proofErr w:type="spellEnd"/>
      <w:r>
        <w:t xml:space="preserve"> o </w:t>
      </w:r>
      <w:proofErr w:type="spellStart"/>
      <w:r>
        <w:t>wyjaśnienie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dotyczący</w:t>
      </w:r>
      <w:proofErr w:type="spellEnd"/>
      <w:r>
        <w:t xml:space="preserve"> </w:t>
      </w:r>
      <w:proofErr w:type="spellStart"/>
      <w:r>
        <w:t>minimalnego</w:t>
      </w:r>
      <w:proofErr w:type="spellEnd"/>
      <w:r>
        <w:t xml:space="preserve"> </w:t>
      </w:r>
      <w:proofErr w:type="spellStart"/>
      <w:r>
        <w:t>okresu</w:t>
      </w:r>
      <w:proofErr w:type="spellEnd"/>
      <w:r>
        <w:t xml:space="preserve"> </w:t>
      </w:r>
      <w:proofErr w:type="spellStart"/>
      <w:r>
        <w:t>ważności</w:t>
      </w:r>
      <w:proofErr w:type="spellEnd"/>
      <w:r>
        <w:t xml:space="preserve"> </w:t>
      </w:r>
      <w:proofErr w:type="spellStart"/>
      <w:r>
        <w:t>dostarczanych</w:t>
      </w:r>
      <w:proofErr w:type="spellEnd"/>
      <w:r>
        <w:t xml:space="preserve"> </w:t>
      </w:r>
      <w:proofErr w:type="spellStart"/>
      <w:r>
        <w:t>produktów</w:t>
      </w:r>
      <w:proofErr w:type="spellEnd"/>
      <w:r>
        <w:t xml:space="preserve"> jest </w:t>
      </w:r>
      <w:proofErr w:type="spellStart"/>
      <w:r>
        <w:t>prawidłowy</w:t>
      </w:r>
      <w:proofErr w:type="spellEnd"/>
      <w:r>
        <w:t xml:space="preserve"> </w:t>
      </w:r>
      <w:proofErr w:type="spellStart"/>
      <w:r>
        <w:t>ponieważ</w:t>
      </w:r>
      <w:proofErr w:type="spellEnd"/>
      <w:r>
        <w:t xml:space="preserve"> </w:t>
      </w:r>
      <w:proofErr w:type="spellStart"/>
      <w:r>
        <w:t>zapisy</w:t>
      </w:r>
      <w:proofErr w:type="spellEnd"/>
      <w:r>
        <w:t xml:space="preserve"> w </w:t>
      </w:r>
      <w:proofErr w:type="spellStart"/>
      <w:r>
        <w:t>specyfikacji</w:t>
      </w:r>
      <w:proofErr w:type="spellEnd"/>
      <w:r>
        <w:t xml:space="preserve"> </w:t>
      </w:r>
      <w:proofErr w:type="spellStart"/>
      <w:r>
        <w:t>istotnych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(SIWZ)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projekcie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sprzeczne</w:t>
      </w:r>
      <w:proofErr w:type="spellEnd"/>
      <w:r>
        <w:t xml:space="preserve">. W SIWZ w </w:t>
      </w:r>
      <w:proofErr w:type="spellStart"/>
      <w:r>
        <w:t>Rozdz</w:t>
      </w:r>
      <w:proofErr w:type="spellEnd"/>
      <w:r>
        <w:t xml:space="preserve">. II OPIS PRZEDMIOTU ZAMÓWIENIA str. 4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wskazuje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minimalny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ważności</w:t>
      </w:r>
      <w:proofErr w:type="spellEnd"/>
      <w:r>
        <w:t xml:space="preserve"> ma </w:t>
      </w:r>
      <w:proofErr w:type="spellStart"/>
      <w:r>
        <w:t>wynosić</w:t>
      </w:r>
      <w:proofErr w:type="spellEnd"/>
      <w:r>
        <w:t xml:space="preserve"> 12 </w:t>
      </w:r>
      <w:proofErr w:type="spellStart"/>
      <w:r>
        <w:t>miesięcy</w:t>
      </w:r>
      <w:proofErr w:type="spellEnd"/>
      <w:r>
        <w:t xml:space="preserve"> a w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(</w:t>
      </w:r>
      <w:proofErr w:type="spellStart"/>
      <w:r>
        <w:t>Załącznik</w:t>
      </w:r>
      <w:proofErr w:type="spellEnd"/>
      <w:r>
        <w:t xml:space="preserve"> nr 3 do SIWZ) </w:t>
      </w:r>
      <w:proofErr w:type="spellStart"/>
      <w:r>
        <w:t>minimalny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ma </w:t>
      </w:r>
      <w:proofErr w:type="spellStart"/>
      <w:r>
        <w:t>wynosić</w:t>
      </w:r>
      <w:proofErr w:type="spellEnd"/>
      <w:r>
        <w:t xml:space="preserve"> 24 </w:t>
      </w:r>
      <w:proofErr w:type="spellStart"/>
      <w:r>
        <w:t>miesiące</w:t>
      </w:r>
      <w:proofErr w:type="spellEnd"/>
      <w:r>
        <w:t>.</w:t>
      </w:r>
    </w:p>
    <w:p w:rsidR="00397AF0" w:rsidRDefault="00397AF0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Odp</w:t>
      </w:r>
      <w:proofErr w:type="spellEnd"/>
      <w:r>
        <w:t xml:space="preserve">. 12 </w:t>
      </w:r>
      <w:proofErr w:type="spellStart"/>
      <w:r>
        <w:t>miesięcy</w:t>
      </w:r>
      <w:proofErr w:type="spellEnd"/>
    </w:p>
    <w:p w:rsidR="00397AF0" w:rsidRDefault="00397AF0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Pyt</w:t>
      </w:r>
      <w:proofErr w:type="spellEnd"/>
      <w:r>
        <w:t>. 21</w:t>
      </w:r>
    </w:p>
    <w:p w:rsidR="00397AF0" w:rsidRDefault="00397AF0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Czy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wstrzymania</w:t>
      </w:r>
      <w:proofErr w:type="spellEnd"/>
      <w:r>
        <w:t xml:space="preserve"> </w:t>
      </w:r>
      <w:proofErr w:type="spellStart"/>
      <w:r>
        <w:t>produkcji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wycofania</w:t>
      </w:r>
      <w:proofErr w:type="spellEnd"/>
      <w:r>
        <w:t xml:space="preserve"> z </w:t>
      </w:r>
      <w:proofErr w:type="spellStart"/>
      <w:r>
        <w:t>obrotu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dostarczenia</w:t>
      </w:r>
      <w:proofErr w:type="spellEnd"/>
      <w:r>
        <w:t xml:space="preserve"> </w:t>
      </w:r>
      <w:proofErr w:type="spellStart"/>
      <w:r>
        <w:t>zamiennika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w </w:t>
      </w:r>
      <w:proofErr w:type="spellStart"/>
      <w:r>
        <w:t>cenie</w:t>
      </w:r>
      <w:proofErr w:type="spellEnd"/>
      <w:r>
        <w:t xml:space="preserve"> </w:t>
      </w:r>
      <w:proofErr w:type="spellStart"/>
      <w:r>
        <w:t>przetargowej</w:t>
      </w:r>
      <w:proofErr w:type="spellEnd"/>
      <w:r>
        <w:t xml:space="preserve"> (</w:t>
      </w:r>
      <w:proofErr w:type="spellStart"/>
      <w:r>
        <w:t>bo</w:t>
      </w:r>
      <w:proofErr w:type="spellEnd"/>
      <w:r>
        <w:t xml:space="preserve"> np. </w:t>
      </w:r>
      <w:proofErr w:type="spellStart"/>
      <w:r>
        <w:t>będzie</w:t>
      </w:r>
      <w:proofErr w:type="spellEnd"/>
      <w:r>
        <w:t xml:space="preserve"> to </w:t>
      </w:r>
      <w:proofErr w:type="spellStart"/>
      <w:r>
        <w:t>groziło</w:t>
      </w:r>
      <w:proofErr w:type="spellEnd"/>
      <w:r>
        <w:t xml:space="preserve"> </w:t>
      </w:r>
      <w:proofErr w:type="spellStart"/>
      <w:r>
        <w:t>rażącą</w:t>
      </w:r>
      <w:proofErr w:type="spellEnd"/>
      <w:r>
        <w:t xml:space="preserve"> </w:t>
      </w:r>
      <w:proofErr w:type="spellStart"/>
      <w:r>
        <w:t>startą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),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wyrazi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sprzedaż</w:t>
      </w:r>
      <w:proofErr w:type="spellEnd"/>
      <w:r>
        <w:t xml:space="preserve"> w </w:t>
      </w:r>
      <w:proofErr w:type="spellStart"/>
      <w:r>
        <w:t>cenie</w:t>
      </w:r>
      <w:proofErr w:type="spellEnd"/>
      <w:r>
        <w:t xml:space="preserve"> </w:t>
      </w:r>
      <w:proofErr w:type="spellStart"/>
      <w:r>
        <w:t>zbliżonej</w:t>
      </w:r>
      <w:proofErr w:type="spellEnd"/>
      <w:r>
        <w:t xml:space="preserve"> do </w:t>
      </w:r>
      <w:proofErr w:type="spellStart"/>
      <w:r>
        <w:lastRenderedPageBreak/>
        <w:t>rynkowej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wyłączenie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z </w:t>
      </w:r>
      <w:proofErr w:type="spellStart"/>
      <w:r>
        <w:t>umowy</w:t>
      </w:r>
      <w:proofErr w:type="spellEnd"/>
      <w:r>
        <w:t xml:space="preserve"> bez </w:t>
      </w:r>
      <w:proofErr w:type="spellStart"/>
      <w:r>
        <w:t>konieczności</w:t>
      </w:r>
      <w:proofErr w:type="spellEnd"/>
      <w:r>
        <w:t xml:space="preserve"> </w:t>
      </w:r>
      <w:proofErr w:type="spellStart"/>
      <w:r>
        <w:t>ponoszenia</w:t>
      </w:r>
      <w:proofErr w:type="spellEnd"/>
      <w:r>
        <w:t xml:space="preserve"> </w:t>
      </w:r>
      <w:proofErr w:type="spellStart"/>
      <w:r>
        <w:t>kary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(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zapisu</w:t>
      </w:r>
      <w:proofErr w:type="spellEnd"/>
      <w:r>
        <w:t xml:space="preserve"> §3 ust.8)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umowy</w:t>
      </w:r>
      <w:proofErr w:type="spellEnd"/>
      <w:r>
        <w:t>)?</w:t>
      </w:r>
    </w:p>
    <w:p w:rsidR="00975F7B" w:rsidRDefault="00975F7B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Odp</w:t>
      </w:r>
      <w:proofErr w:type="spellEnd"/>
      <w:r>
        <w:t>. NIE</w:t>
      </w:r>
    </w:p>
    <w:p w:rsidR="00975F7B" w:rsidRDefault="00975F7B" w:rsidP="00397AF0">
      <w:pPr>
        <w:pStyle w:val="Akapitzlist"/>
        <w:tabs>
          <w:tab w:val="left" w:pos="0"/>
        </w:tabs>
        <w:ind w:left="436"/>
        <w:jc w:val="both"/>
      </w:pPr>
      <w:r>
        <w:t>Pyt.22</w:t>
      </w:r>
    </w:p>
    <w:p w:rsidR="00397AF0" w:rsidRDefault="00397AF0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Czy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wyrazi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modyfikację</w:t>
      </w:r>
      <w:proofErr w:type="spellEnd"/>
      <w:r>
        <w:t xml:space="preserve"> </w:t>
      </w:r>
      <w:proofErr w:type="spellStart"/>
      <w:r>
        <w:t>brzmienia</w:t>
      </w:r>
      <w:proofErr w:type="spellEnd"/>
      <w:r>
        <w:t xml:space="preserve"> §5 ust.4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wydłużenie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wymiany</w:t>
      </w:r>
      <w:proofErr w:type="spellEnd"/>
      <w:r>
        <w:t xml:space="preserve"> </w:t>
      </w:r>
      <w:proofErr w:type="spellStart"/>
      <w:r>
        <w:t>reklamacyjnej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towar</w:t>
      </w:r>
      <w:proofErr w:type="spellEnd"/>
      <w:r>
        <w:t xml:space="preserve"> </w:t>
      </w:r>
      <w:proofErr w:type="spellStart"/>
      <w:r>
        <w:t>wolny</w:t>
      </w:r>
      <w:proofErr w:type="spellEnd"/>
      <w:r>
        <w:t xml:space="preserve"> od wad do 2 </w:t>
      </w:r>
      <w:proofErr w:type="spellStart"/>
      <w:r>
        <w:t>dni</w:t>
      </w:r>
      <w:proofErr w:type="spellEnd"/>
      <w:r>
        <w:t xml:space="preserve"> </w:t>
      </w:r>
      <w:proofErr w:type="spellStart"/>
      <w:r>
        <w:t>roboczych</w:t>
      </w:r>
      <w:proofErr w:type="spellEnd"/>
      <w:r>
        <w:t>?</w:t>
      </w:r>
    </w:p>
    <w:p w:rsidR="00975F7B" w:rsidRDefault="00975F7B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Odp</w:t>
      </w:r>
      <w:proofErr w:type="spellEnd"/>
      <w:r>
        <w:t xml:space="preserve">. </w:t>
      </w:r>
      <w:proofErr w:type="spellStart"/>
      <w:r>
        <w:t>Nie</w:t>
      </w:r>
      <w:proofErr w:type="spellEnd"/>
    </w:p>
    <w:p w:rsidR="00975F7B" w:rsidRDefault="00975F7B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Pyt</w:t>
      </w:r>
      <w:proofErr w:type="spellEnd"/>
      <w:r>
        <w:t>. 23</w:t>
      </w:r>
    </w:p>
    <w:p w:rsidR="00397AF0" w:rsidRDefault="00397AF0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Czy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wyrazi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zmianę</w:t>
      </w:r>
      <w:proofErr w:type="spellEnd"/>
      <w:r>
        <w:t xml:space="preserve"> </w:t>
      </w:r>
      <w:proofErr w:type="spellStart"/>
      <w:r>
        <w:t>zapisów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§6 ust.1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o </w:t>
      </w:r>
      <w:proofErr w:type="spellStart"/>
      <w:r>
        <w:t>ewentualnej</w:t>
      </w:r>
      <w:proofErr w:type="spellEnd"/>
      <w:r>
        <w:t xml:space="preserve"> </w:t>
      </w:r>
      <w:proofErr w:type="spellStart"/>
      <w:r>
        <w:t>karze</w:t>
      </w:r>
      <w:proofErr w:type="spellEnd"/>
      <w:r>
        <w:t xml:space="preserve"> za </w:t>
      </w:r>
      <w:proofErr w:type="spellStart"/>
      <w:r>
        <w:t>odstąpienie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10%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NIEZREALIZOWANEJ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umowy</w:t>
      </w:r>
      <w:proofErr w:type="spellEnd"/>
      <w:r>
        <w:t>?</w:t>
      </w:r>
    </w:p>
    <w:p w:rsidR="00975F7B" w:rsidRDefault="00975F7B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Odp</w:t>
      </w:r>
      <w:proofErr w:type="spellEnd"/>
      <w:r>
        <w:t>. NIE</w:t>
      </w:r>
    </w:p>
    <w:p w:rsidR="00975F7B" w:rsidRDefault="00975F7B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Pyt</w:t>
      </w:r>
      <w:proofErr w:type="spellEnd"/>
      <w:r>
        <w:t>. 24</w:t>
      </w:r>
    </w:p>
    <w:p w:rsidR="00397AF0" w:rsidRDefault="00397AF0" w:rsidP="00397AF0">
      <w:pPr>
        <w:pStyle w:val="Akapitzlist"/>
        <w:tabs>
          <w:tab w:val="left" w:pos="0"/>
        </w:tabs>
        <w:ind w:left="436"/>
        <w:jc w:val="both"/>
      </w:pPr>
      <w:r>
        <w:t xml:space="preserve">Do §6 ust.2 </w:t>
      </w:r>
      <w:proofErr w:type="spellStart"/>
      <w:r>
        <w:t>ppkt</w:t>
      </w:r>
      <w:proofErr w:type="spellEnd"/>
      <w:r>
        <w:t xml:space="preserve"> 1)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. </w:t>
      </w:r>
      <w:proofErr w:type="spellStart"/>
      <w:r>
        <w:t>Czy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wyrazi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zmianę</w:t>
      </w:r>
      <w:proofErr w:type="spellEnd"/>
      <w:r>
        <w:t xml:space="preserve"> </w:t>
      </w:r>
      <w:proofErr w:type="spellStart"/>
      <w:r>
        <w:t>zapisu</w:t>
      </w:r>
      <w:proofErr w:type="spellEnd"/>
      <w:r>
        <w:t xml:space="preserve"> </w:t>
      </w:r>
      <w:proofErr w:type="spellStart"/>
      <w:r>
        <w:t>dotyczącego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umownych</w:t>
      </w:r>
      <w:proofErr w:type="spellEnd"/>
      <w:r>
        <w:t xml:space="preserve"> za </w:t>
      </w:r>
      <w:proofErr w:type="spellStart"/>
      <w:r>
        <w:t>niedostarczenie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zamówionej</w:t>
      </w:r>
      <w:proofErr w:type="spellEnd"/>
      <w:r>
        <w:t xml:space="preserve"> </w:t>
      </w:r>
      <w:proofErr w:type="spellStart"/>
      <w:r>
        <w:t>partii</w:t>
      </w:r>
      <w:proofErr w:type="spellEnd"/>
      <w:r>
        <w:t xml:space="preserve"> </w:t>
      </w:r>
      <w:proofErr w:type="spellStart"/>
      <w:r>
        <w:t>towaru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wprowadzenie</w:t>
      </w:r>
      <w:proofErr w:type="spellEnd"/>
      <w:r>
        <w:t xml:space="preserve"> </w:t>
      </w:r>
      <w:proofErr w:type="spellStart"/>
      <w:r>
        <w:t>zapisu</w:t>
      </w:r>
      <w:proofErr w:type="spellEnd"/>
      <w:r>
        <w:t xml:space="preserve"> o </w:t>
      </w:r>
      <w:proofErr w:type="spellStart"/>
      <w:r>
        <w:t>karze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1% </w:t>
      </w:r>
      <w:proofErr w:type="spellStart"/>
      <w:r>
        <w:t>wartości</w:t>
      </w:r>
      <w:proofErr w:type="spellEnd"/>
      <w:r>
        <w:t xml:space="preserve"> NIEDOSTARCZONEGO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dziennie</w:t>
      </w:r>
      <w:proofErr w:type="spellEnd"/>
      <w:r>
        <w:t xml:space="preserve">? </w:t>
      </w:r>
      <w:proofErr w:type="spellStart"/>
      <w:r>
        <w:t>Zwracamy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uwagę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niewspółmierność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przewidzianych</w:t>
      </w:r>
      <w:proofErr w:type="spellEnd"/>
      <w:r>
        <w:t xml:space="preserve"> w </w:t>
      </w:r>
      <w:proofErr w:type="spellStart"/>
      <w:r>
        <w:t>umowie</w:t>
      </w:r>
      <w:proofErr w:type="spellEnd"/>
      <w:r>
        <w:t xml:space="preserve">. </w:t>
      </w:r>
      <w:proofErr w:type="spellStart"/>
      <w:r>
        <w:t>Zamawiającemu</w:t>
      </w:r>
      <w:proofErr w:type="spellEnd"/>
      <w:r>
        <w:t xml:space="preserve"> za </w:t>
      </w:r>
      <w:proofErr w:type="spellStart"/>
      <w:r>
        <w:t>opóźnienie</w:t>
      </w:r>
      <w:proofErr w:type="spellEnd"/>
      <w:r>
        <w:t xml:space="preserve"> </w:t>
      </w:r>
      <w:proofErr w:type="spellStart"/>
      <w:r>
        <w:t>świadczenia</w:t>
      </w:r>
      <w:proofErr w:type="spellEnd"/>
      <w:r>
        <w:t xml:space="preserve"> </w:t>
      </w:r>
      <w:proofErr w:type="spellStart"/>
      <w:r>
        <w:t>pieniężnego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naliczona</w:t>
      </w:r>
      <w:proofErr w:type="spellEnd"/>
      <w:r>
        <w:t xml:space="preserve"> </w:t>
      </w:r>
      <w:proofErr w:type="spellStart"/>
      <w:r>
        <w:t>kara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większej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9,5% w </w:t>
      </w:r>
      <w:proofErr w:type="spellStart"/>
      <w:r>
        <w:t>skali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liczona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opóźnienie</w:t>
      </w:r>
      <w:proofErr w:type="spellEnd"/>
      <w:r>
        <w:t xml:space="preserve">. </w:t>
      </w:r>
      <w:proofErr w:type="spellStart"/>
      <w:r>
        <w:t>Natomiast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jest </w:t>
      </w:r>
      <w:proofErr w:type="spellStart"/>
      <w:r>
        <w:t>przewidziana</w:t>
      </w:r>
      <w:proofErr w:type="spellEnd"/>
      <w:r>
        <w:t xml:space="preserve"> </w:t>
      </w:r>
      <w:proofErr w:type="spellStart"/>
      <w:r>
        <w:t>kara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1095% w </w:t>
      </w:r>
      <w:proofErr w:type="spellStart"/>
      <w:r>
        <w:t>skali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(3% x 365 </w:t>
      </w:r>
      <w:proofErr w:type="spellStart"/>
      <w:r>
        <w:t>dni</w:t>
      </w:r>
      <w:proofErr w:type="spellEnd"/>
      <w:r>
        <w:t xml:space="preserve">) za </w:t>
      </w:r>
      <w:proofErr w:type="spellStart"/>
      <w:r>
        <w:t>opóźnienie</w:t>
      </w:r>
      <w:proofErr w:type="spellEnd"/>
      <w:r>
        <w:t xml:space="preserve"> </w:t>
      </w:r>
      <w:proofErr w:type="spellStart"/>
      <w:r>
        <w:t>świadczenia</w:t>
      </w:r>
      <w:proofErr w:type="spellEnd"/>
      <w:r>
        <w:t>.</w:t>
      </w:r>
    </w:p>
    <w:p w:rsidR="00975F7B" w:rsidRDefault="00975F7B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Odp</w:t>
      </w:r>
      <w:proofErr w:type="spellEnd"/>
      <w:r>
        <w:t xml:space="preserve">. </w:t>
      </w:r>
      <w:proofErr w:type="spellStart"/>
      <w:r>
        <w:t>NIe</w:t>
      </w:r>
      <w:proofErr w:type="spellEnd"/>
    </w:p>
    <w:p w:rsidR="00975F7B" w:rsidRDefault="00975F7B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Pyt</w:t>
      </w:r>
      <w:proofErr w:type="spellEnd"/>
      <w:r>
        <w:t>. 25</w:t>
      </w:r>
    </w:p>
    <w:p w:rsidR="00397AF0" w:rsidRDefault="00397AF0" w:rsidP="00397AF0">
      <w:pPr>
        <w:pStyle w:val="Akapitzlist"/>
        <w:tabs>
          <w:tab w:val="left" w:pos="0"/>
        </w:tabs>
        <w:ind w:left="436"/>
        <w:jc w:val="both"/>
      </w:pPr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wyrazi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zmianę</w:t>
      </w:r>
      <w:proofErr w:type="spellEnd"/>
      <w:r>
        <w:t xml:space="preserve"> </w:t>
      </w:r>
      <w:proofErr w:type="spellStart"/>
      <w:r>
        <w:t>zapisu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§6 ust.2 </w:t>
      </w:r>
      <w:proofErr w:type="spellStart"/>
      <w:r>
        <w:t>ppkt</w:t>
      </w:r>
      <w:proofErr w:type="spellEnd"/>
      <w:r>
        <w:t xml:space="preserve"> 2) </w:t>
      </w:r>
      <w:proofErr w:type="spellStart"/>
      <w:r>
        <w:t>dotyczącego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umownych</w:t>
      </w:r>
      <w:proofErr w:type="spellEnd"/>
      <w:r>
        <w:t xml:space="preserve"> za </w:t>
      </w:r>
      <w:proofErr w:type="spellStart"/>
      <w:r>
        <w:t>niedostarczenie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zareklamowanej</w:t>
      </w:r>
      <w:proofErr w:type="spellEnd"/>
      <w:r>
        <w:t xml:space="preserve"> </w:t>
      </w:r>
      <w:proofErr w:type="spellStart"/>
      <w:r>
        <w:t>partii</w:t>
      </w:r>
      <w:proofErr w:type="spellEnd"/>
      <w:r>
        <w:t xml:space="preserve"> </w:t>
      </w:r>
      <w:proofErr w:type="spellStart"/>
      <w:r>
        <w:t>towaru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wprowadzenie</w:t>
      </w:r>
      <w:proofErr w:type="spellEnd"/>
      <w:r>
        <w:t xml:space="preserve"> </w:t>
      </w:r>
      <w:proofErr w:type="spellStart"/>
      <w:r>
        <w:t>zapisu</w:t>
      </w:r>
      <w:proofErr w:type="spellEnd"/>
      <w:r>
        <w:t xml:space="preserve"> o </w:t>
      </w:r>
      <w:proofErr w:type="spellStart"/>
      <w:r>
        <w:t>karze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2% </w:t>
      </w:r>
      <w:proofErr w:type="spellStart"/>
      <w:r>
        <w:t>dziennie</w:t>
      </w:r>
      <w:proofErr w:type="spellEnd"/>
      <w:r>
        <w:t xml:space="preserve"> </w:t>
      </w:r>
      <w:proofErr w:type="spellStart"/>
      <w:r>
        <w:t>liczonej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dostarczonego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podlegającego</w:t>
      </w:r>
      <w:proofErr w:type="spellEnd"/>
      <w:r>
        <w:t xml:space="preserve"> </w:t>
      </w:r>
      <w:proofErr w:type="spellStart"/>
      <w:r>
        <w:t>reklamacji</w:t>
      </w:r>
      <w:proofErr w:type="spellEnd"/>
      <w:r>
        <w:t>?</w:t>
      </w:r>
    </w:p>
    <w:p w:rsidR="00975F7B" w:rsidRDefault="00975F7B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Odp</w:t>
      </w:r>
      <w:proofErr w:type="spellEnd"/>
      <w:r>
        <w:t>. NIE</w:t>
      </w:r>
    </w:p>
    <w:p w:rsidR="00975F7B" w:rsidRDefault="00975F7B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Pyt</w:t>
      </w:r>
      <w:proofErr w:type="spellEnd"/>
      <w:r>
        <w:t>. 26</w:t>
      </w:r>
    </w:p>
    <w:p w:rsidR="00397AF0" w:rsidRDefault="00397AF0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Czy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wyrazi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zmianę</w:t>
      </w:r>
      <w:proofErr w:type="spellEnd"/>
      <w:r>
        <w:t xml:space="preserve"> </w:t>
      </w:r>
      <w:proofErr w:type="spellStart"/>
      <w:r>
        <w:t>zapisów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§6 ust.3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o </w:t>
      </w:r>
      <w:proofErr w:type="spellStart"/>
      <w:r>
        <w:t>ewentualnej</w:t>
      </w:r>
      <w:proofErr w:type="spellEnd"/>
      <w:r>
        <w:t xml:space="preserve"> </w:t>
      </w:r>
      <w:proofErr w:type="spellStart"/>
      <w:r>
        <w:t>karze</w:t>
      </w:r>
      <w:proofErr w:type="spellEnd"/>
      <w:r>
        <w:t xml:space="preserve"> za </w:t>
      </w:r>
      <w:proofErr w:type="spellStart"/>
      <w:r>
        <w:t>odstąpienie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10%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NIEZREALIZOWANEJ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umowy</w:t>
      </w:r>
      <w:proofErr w:type="spellEnd"/>
      <w:r>
        <w:t>?</w:t>
      </w:r>
    </w:p>
    <w:p w:rsidR="00975F7B" w:rsidRDefault="00975F7B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Odp</w:t>
      </w:r>
      <w:proofErr w:type="spellEnd"/>
      <w:r>
        <w:t>. NIE</w:t>
      </w:r>
    </w:p>
    <w:p w:rsidR="00975F7B" w:rsidRDefault="00975F7B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Pyt</w:t>
      </w:r>
      <w:proofErr w:type="spellEnd"/>
      <w:r>
        <w:t>. 27</w:t>
      </w:r>
    </w:p>
    <w:p w:rsidR="00397AF0" w:rsidRDefault="00397AF0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Prosimy</w:t>
      </w:r>
      <w:proofErr w:type="spellEnd"/>
      <w:r>
        <w:t xml:space="preserve"> o </w:t>
      </w:r>
      <w:proofErr w:type="spellStart"/>
      <w:r>
        <w:t>wykreślenie</w:t>
      </w:r>
      <w:proofErr w:type="spellEnd"/>
      <w:r>
        <w:t xml:space="preserve"> z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zapisów</w:t>
      </w:r>
      <w:proofErr w:type="spellEnd"/>
      <w:r>
        <w:t xml:space="preserve"> §7 ust.2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niezgodnych</w:t>
      </w:r>
      <w:proofErr w:type="spellEnd"/>
      <w:r>
        <w:t xml:space="preserve"> z </w:t>
      </w:r>
      <w:proofErr w:type="spellStart"/>
      <w:r>
        <w:t>normami</w:t>
      </w:r>
      <w:proofErr w:type="spellEnd"/>
      <w:r>
        <w:t xml:space="preserve"> </w:t>
      </w:r>
      <w:proofErr w:type="spellStart"/>
      <w:r>
        <w:t>współżycia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będących</w:t>
      </w:r>
      <w:proofErr w:type="spellEnd"/>
      <w:r>
        <w:t xml:space="preserve"> </w:t>
      </w:r>
      <w:proofErr w:type="spellStart"/>
      <w:r>
        <w:t>nadużyciem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ze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, a co za </w:t>
      </w:r>
      <w:proofErr w:type="spellStart"/>
      <w:r>
        <w:t>tym</w:t>
      </w:r>
      <w:proofErr w:type="spellEnd"/>
      <w:r>
        <w:t xml:space="preserve"> </w:t>
      </w:r>
      <w:proofErr w:type="spellStart"/>
      <w:r>
        <w:t>idzie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zasługujących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ochronę</w:t>
      </w:r>
      <w:proofErr w:type="spellEnd"/>
      <w:r>
        <w:t xml:space="preserve"> </w:t>
      </w:r>
      <w:proofErr w:type="spellStart"/>
      <w:r>
        <w:t>prawną</w:t>
      </w:r>
      <w:proofErr w:type="spellEnd"/>
      <w:r>
        <w:t xml:space="preserve">. </w:t>
      </w:r>
      <w:proofErr w:type="spellStart"/>
      <w:r>
        <w:t>Wyjaśniamy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rolą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w </w:t>
      </w:r>
      <w:proofErr w:type="spellStart"/>
      <w:r>
        <w:t>zamówieniach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jest </w:t>
      </w:r>
      <w:proofErr w:type="spellStart"/>
      <w:r>
        <w:t>ochrona</w:t>
      </w:r>
      <w:proofErr w:type="spellEnd"/>
      <w:r>
        <w:t xml:space="preserve"> </w:t>
      </w:r>
      <w:proofErr w:type="spellStart"/>
      <w:r>
        <w:t>interesów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prawidłowych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terminowych</w:t>
      </w:r>
      <w:proofErr w:type="spellEnd"/>
      <w:r>
        <w:t xml:space="preserve"> </w:t>
      </w:r>
      <w:proofErr w:type="spellStart"/>
      <w:r>
        <w:t>dostaw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zastrzegać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umownych</w:t>
      </w:r>
      <w:proofErr w:type="spellEnd"/>
      <w:r>
        <w:t xml:space="preserve"> za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uprawnień</w:t>
      </w:r>
      <w:proofErr w:type="spellEnd"/>
      <w:r>
        <w:t xml:space="preserve"> </w:t>
      </w:r>
      <w:proofErr w:type="spellStart"/>
      <w:r>
        <w:t>podmiotowych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. Za </w:t>
      </w:r>
      <w:proofErr w:type="spellStart"/>
      <w:r>
        <w:t>takim</w:t>
      </w:r>
      <w:proofErr w:type="spellEnd"/>
      <w:r>
        <w:t xml:space="preserve"> </w:t>
      </w:r>
      <w:proofErr w:type="spellStart"/>
      <w:r>
        <w:t>rozumieniem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przemawiają</w:t>
      </w:r>
      <w:proofErr w:type="spellEnd"/>
      <w:r>
        <w:t xml:space="preserve"> </w:t>
      </w:r>
      <w:proofErr w:type="spellStart"/>
      <w:r>
        <w:t>ostatnie</w:t>
      </w:r>
      <w:proofErr w:type="spellEnd"/>
      <w:r>
        <w:t xml:space="preserve"> </w:t>
      </w:r>
      <w:proofErr w:type="spellStart"/>
      <w:r>
        <w:t>orzeczenia</w:t>
      </w:r>
      <w:proofErr w:type="spellEnd"/>
      <w:r>
        <w:t xml:space="preserve"> </w:t>
      </w:r>
      <w:proofErr w:type="spellStart"/>
      <w:r>
        <w:t>Krajowej</w:t>
      </w:r>
      <w:proofErr w:type="spellEnd"/>
      <w:r>
        <w:t xml:space="preserve"> </w:t>
      </w:r>
      <w:proofErr w:type="spellStart"/>
      <w:r>
        <w:t>Izby</w:t>
      </w:r>
      <w:proofErr w:type="spellEnd"/>
      <w:r>
        <w:t xml:space="preserve"> </w:t>
      </w:r>
      <w:proofErr w:type="spellStart"/>
      <w:r>
        <w:t>Odwoławczej</w:t>
      </w:r>
      <w:proofErr w:type="spellEnd"/>
      <w:r>
        <w:t xml:space="preserve"> o </w:t>
      </w:r>
      <w:proofErr w:type="spellStart"/>
      <w:r>
        <w:t>sygnaturach</w:t>
      </w:r>
      <w:proofErr w:type="spellEnd"/>
      <w:r>
        <w:t xml:space="preserve">: KIO 2397/13 </w:t>
      </w:r>
      <w:proofErr w:type="spellStart"/>
      <w:r>
        <w:t>i</w:t>
      </w:r>
      <w:proofErr w:type="spellEnd"/>
      <w:r>
        <w:t xml:space="preserve"> KIO 487/14.</w:t>
      </w:r>
    </w:p>
    <w:p w:rsidR="00975F7B" w:rsidRDefault="00975F7B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Odp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wyraża</w:t>
      </w:r>
      <w:proofErr w:type="spellEnd"/>
      <w:r>
        <w:t xml:space="preserve"> </w:t>
      </w:r>
      <w:proofErr w:type="spellStart"/>
      <w:r>
        <w:t>zgody</w:t>
      </w:r>
      <w:proofErr w:type="spellEnd"/>
      <w:r>
        <w:t>.</w:t>
      </w:r>
    </w:p>
    <w:p w:rsidR="00975F7B" w:rsidRDefault="00975F7B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t>Pyt</w:t>
      </w:r>
      <w:proofErr w:type="spellEnd"/>
      <w:r>
        <w:t>. 28</w:t>
      </w:r>
    </w:p>
    <w:p w:rsidR="00397AF0" w:rsidRDefault="00397AF0" w:rsidP="00397AF0">
      <w:pPr>
        <w:pStyle w:val="Akapitzlist"/>
        <w:tabs>
          <w:tab w:val="left" w:pos="0"/>
        </w:tabs>
        <w:ind w:left="436"/>
        <w:jc w:val="both"/>
      </w:pPr>
      <w:proofErr w:type="spellStart"/>
      <w:r>
        <w:lastRenderedPageBreak/>
        <w:t>Czy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wstrzymania</w:t>
      </w:r>
      <w:proofErr w:type="spellEnd"/>
      <w:r>
        <w:t xml:space="preserve"> </w:t>
      </w:r>
      <w:proofErr w:type="spellStart"/>
      <w:r>
        <w:t>produkcji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wycofania</w:t>
      </w:r>
      <w:proofErr w:type="spellEnd"/>
      <w:r>
        <w:t xml:space="preserve"> z </w:t>
      </w:r>
      <w:proofErr w:type="spellStart"/>
      <w:r>
        <w:t>obrotu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dostarczenia</w:t>
      </w:r>
      <w:proofErr w:type="spellEnd"/>
      <w:r>
        <w:t xml:space="preserve"> </w:t>
      </w:r>
      <w:proofErr w:type="spellStart"/>
      <w:r>
        <w:t>zamiennika</w:t>
      </w:r>
      <w:proofErr w:type="spellEnd"/>
      <w:r>
        <w:t xml:space="preserve"> </w:t>
      </w:r>
      <w:proofErr w:type="spellStart"/>
      <w:r>
        <w:t>leku</w:t>
      </w:r>
      <w:proofErr w:type="spellEnd"/>
      <w:r>
        <w:t xml:space="preserve"> w </w:t>
      </w:r>
      <w:proofErr w:type="spellStart"/>
      <w:r>
        <w:t>cenie</w:t>
      </w:r>
      <w:proofErr w:type="spellEnd"/>
      <w:r>
        <w:t xml:space="preserve"> </w:t>
      </w:r>
      <w:proofErr w:type="spellStart"/>
      <w:r>
        <w:t>przetargowej</w:t>
      </w:r>
      <w:proofErr w:type="spellEnd"/>
      <w:r>
        <w:t xml:space="preserve"> (</w:t>
      </w:r>
      <w:proofErr w:type="spellStart"/>
      <w:r>
        <w:t>bo</w:t>
      </w:r>
      <w:proofErr w:type="spellEnd"/>
      <w:r>
        <w:t xml:space="preserve"> np. </w:t>
      </w:r>
      <w:proofErr w:type="spellStart"/>
      <w:r>
        <w:t>będzie</w:t>
      </w:r>
      <w:proofErr w:type="spellEnd"/>
      <w:r>
        <w:t xml:space="preserve"> to </w:t>
      </w:r>
      <w:proofErr w:type="spellStart"/>
      <w:r>
        <w:t>raziło</w:t>
      </w:r>
      <w:proofErr w:type="spellEnd"/>
      <w:r>
        <w:t xml:space="preserve"> </w:t>
      </w:r>
      <w:proofErr w:type="spellStart"/>
      <w:r>
        <w:t>rażącą</w:t>
      </w:r>
      <w:proofErr w:type="spellEnd"/>
      <w:r>
        <w:t xml:space="preserve"> </w:t>
      </w:r>
      <w:proofErr w:type="spellStart"/>
      <w:r>
        <w:t>startą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),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wyrazi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sprzedaż</w:t>
      </w:r>
      <w:proofErr w:type="spellEnd"/>
      <w:r>
        <w:t xml:space="preserve"> w </w:t>
      </w:r>
      <w:proofErr w:type="spellStart"/>
      <w:r>
        <w:t>cenie</w:t>
      </w:r>
      <w:proofErr w:type="spellEnd"/>
      <w:r>
        <w:t xml:space="preserve"> </w:t>
      </w:r>
      <w:proofErr w:type="spellStart"/>
      <w:r>
        <w:t>zbliżonej</w:t>
      </w:r>
      <w:proofErr w:type="spellEnd"/>
      <w:r>
        <w:t xml:space="preserve"> do </w:t>
      </w:r>
      <w:proofErr w:type="spellStart"/>
      <w:r>
        <w:t>rynkowej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wyłączenie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z </w:t>
      </w:r>
      <w:proofErr w:type="spellStart"/>
      <w:r>
        <w:t>umowy</w:t>
      </w:r>
      <w:proofErr w:type="spellEnd"/>
      <w:r>
        <w:t xml:space="preserve"> bez </w:t>
      </w:r>
      <w:proofErr w:type="spellStart"/>
      <w:r>
        <w:t>konieczności</w:t>
      </w:r>
      <w:proofErr w:type="spellEnd"/>
      <w:r>
        <w:t xml:space="preserve"> </w:t>
      </w:r>
      <w:proofErr w:type="spellStart"/>
      <w:r>
        <w:t>ponoszenia</w:t>
      </w:r>
      <w:proofErr w:type="spellEnd"/>
      <w:r>
        <w:t xml:space="preserve"> </w:t>
      </w:r>
      <w:proofErr w:type="spellStart"/>
      <w:r>
        <w:t>kary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(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zapisów</w:t>
      </w:r>
      <w:proofErr w:type="spellEnd"/>
      <w:r>
        <w:t xml:space="preserve"> §8 ust.2 pkt 9)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umowy</w:t>
      </w:r>
      <w:proofErr w:type="spellEnd"/>
      <w:r>
        <w:t>)?</w:t>
      </w:r>
    </w:p>
    <w:p w:rsidR="00975F7B" w:rsidRDefault="00975F7B" w:rsidP="00397AF0">
      <w:pPr>
        <w:pStyle w:val="Akapitzlist"/>
        <w:tabs>
          <w:tab w:val="left" w:pos="0"/>
        </w:tabs>
        <w:ind w:left="43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Odp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Zgodnie</w:t>
      </w:r>
      <w:proofErr w:type="spellEnd"/>
      <w:r>
        <w:rPr>
          <w:rFonts w:ascii="Arial" w:hAnsi="Arial" w:cs="Arial"/>
        </w:rPr>
        <w:t xml:space="preserve"> ze </w:t>
      </w:r>
      <w:proofErr w:type="spellStart"/>
      <w:r>
        <w:rPr>
          <w:rFonts w:ascii="Arial" w:hAnsi="Arial" w:cs="Arial"/>
        </w:rPr>
        <w:t>wzorem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</w:p>
    <w:p w:rsidR="00397AF0" w:rsidRDefault="00397AF0" w:rsidP="00397AF0">
      <w:pPr>
        <w:pStyle w:val="Akapitzlist"/>
        <w:tabs>
          <w:tab w:val="left" w:pos="0"/>
        </w:tabs>
        <w:ind w:left="76"/>
        <w:jc w:val="both"/>
        <w:rPr>
          <w:rFonts w:ascii="Arial" w:hAnsi="Arial" w:cs="Arial"/>
        </w:rPr>
      </w:pPr>
      <w:bookmarkStart w:id="2" w:name="_GoBack"/>
      <w:bookmarkEnd w:id="2"/>
    </w:p>
    <w:p w:rsidR="00894500" w:rsidRDefault="00894500" w:rsidP="00894500">
      <w:pPr>
        <w:spacing w:before="100" w:beforeAutospacing="1" w:after="100" w:afterAutospacing="1" w:line="276" w:lineRule="auto"/>
      </w:pPr>
    </w:p>
    <w:p w:rsidR="008170C5" w:rsidRDefault="008170C5" w:rsidP="008170C5">
      <w:pPr>
        <w:widowControl w:val="0"/>
        <w:autoSpaceDE w:val="0"/>
        <w:autoSpaceDN w:val="0"/>
        <w:adjustRightInd w:val="0"/>
        <w:ind w:right="-108"/>
        <w:jc w:val="both"/>
        <w:rPr>
          <w:rFonts w:asciiTheme="majorHAnsi" w:hAnsiTheme="majorHAnsi"/>
          <w:bCs/>
          <w:iCs/>
          <w:sz w:val="22"/>
          <w:szCs w:val="22"/>
        </w:rPr>
      </w:pPr>
    </w:p>
    <w:p w:rsidR="008170C5" w:rsidRDefault="008170C5"/>
    <w:sectPr w:rsidR="008170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A88" w:rsidRDefault="00CF6A88" w:rsidP="009F049F">
      <w:r>
        <w:separator/>
      </w:r>
    </w:p>
  </w:endnote>
  <w:endnote w:type="continuationSeparator" w:id="0">
    <w:p w:rsidR="00CF6A88" w:rsidRDefault="00CF6A88" w:rsidP="009F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A88" w:rsidRDefault="00CF6A88" w:rsidP="009F049F">
      <w:r>
        <w:separator/>
      </w:r>
    </w:p>
  </w:footnote>
  <w:footnote w:type="continuationSeparator" w:id="0">
    <w:p w:rsidR="00CF6A88" w:rsidRDefault="00CF6A88" w:rsidP="009F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05990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049F" w:rsidRDefault="009F049F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9F049F" w:rsidRDefault="009F04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0747"/>
    <w:multiLevelType w:val="hybridMultilevel"/>
    <w:tmpl w:val="941A3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BDA"/>
    <w:multiLevelType w:val="hybridMultilevel"/>
    <w:tmpl w:val="AE0A54D6"/>
    <w:lvl w:ilvl="0" w:tplc="B8728A9A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3A25016"/>
    <w:multiLevelType w:val="hybridMultilevel"/>
    <w:tmpl w:val="889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A1FA7"/>
    <w:multiLevelType w:val="multilevel"/>
    <w:tmpl w:val="2314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A05E9"/>
    <w:multiLevelType w:val="hybridMultilevel"/>
    <w:tmpl w:val="E5209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94"/>
    <w:rsid w:val="0010782F"/>
    <w:rsid w:val="00244DF3"/>
    <w:rsid w:val="00334B64"/>
    <w:rsid w:val="00397AF0"/>
    <w:rsid w:val="00523B0B"/>
    <w:rsid w:val="005C0A05"/>
    <w:rsid w:val="008170C5"/>
    <w:rsid w:val="008257D2"/>
    <w:rsid w:val="00894500"/>
    <w:rsid w:val="008C2094"/>
    <w:rsid w:val="00975F7B"/>
    <w:rsid w:val="009F049F"/>
    <w:rsid w:val="00AB0A08"/>
    <w:rsid w:val="00CF6A88"/>
    <w:rsid w:val="00D1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2B53"/>
  <w15:chartTrackingRefBased/>
  <w15:docId w15:val="{C741CDA1-E36D-4C40-B573-F746AAAE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C2094"/>
  </w:style>
  <w:style w:type="paragraph" w:styleId="Bezodstpw">
    <w:name w:val="No Spacing"/>
    <w:uiPriority w:val="1"/>
    <w:qFormat/>
    <w:rsid w:val="008170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70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14">
    <w:name w:val="s14"/>
    <w:basedOn w:val="Normalny"/>
    <w:rsid w:val="008170C5"/>
    <w:pPr>
      <w:spacing w:before="100" w:beforeAutospacing="1" w:after="100" w:afterAutospacing="1"/>
    </w:pPr>
    <w:rPr>
      <w:rFonts w:eastAsiaTheme="minorHAnsi"/>
    </w:rPr>
  </w:style>
  <w:style w:type="character" w:customStyle="1" w:styleId="s13">
    <w:name w:val="s13"/>
    <w:basedOn w:val="Domylnaczcionkaakapitu"/>
    <w:rsid w:val="008170C5"/>
  </w:style>
  <w:style w:type="paragraph" w:styleId="Nagwek">
    <w:name w:val="header"/>
    <w:basedOn w:val="Normalny"/>
    <w:link w:val="NagwekZnak"/>
    <w:uiPriority w:val="99"/>
    <w:unhideWhenUsed/>
    <w:rsid w:val="009F0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4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4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23B0B"/>
    <w:pPr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3B0B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523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1985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Mariola</dc:creator>
  <cp:keywords/>
  <dc:description/>
  <cp:lastModifiedBy>Kowalczyk Mariola</cp:lastModifiedBy>
  <cp:revision>2</cp:revision>
  <dcterms:created xsi:type="dcterms:W3CDTF">2018-05-07T10:01:00Z</dcterms:created>
  <dcterms:modified xsi:type="dcterms:W3CDTF">2018-05-07T10:01:00Z</dcterms:modified>
</cp:coreProperties>
</file>